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21" w:rsidRPr="00854286" w:rsidRDefault="007E1F21" w:rsidP="007E1F21">
      <w:pPr>
        <w:jc w:val="right"/>
        <w:rPr>
          <w:lang w:val="uk-UA"/>
        </w:rPr>
      </w:pPr>
      <w:r w:rsidRPr="00854286">
        <w:rPr>
          <w:lang w:val="uk-UA"/>
        </w:rPr>
        <w:t>Додаток 1</w:t>
      </w:r>
    </w:p>
    <w:p w:rsidR="007E1F21" w:rsidRPr="00854286" w:rsidRDefault="007E1F21" w:rsidP="007E1F21">
      <w:pPr>
        <w:jc w:val="right"/>
        <w:rPr>
          <w:lang w:val="uk-UA"/>
        </w:rPr>
      </w:pPr>
      <w:r w:rsidRPr="00854286">
        <w:rPr>
          <w:lang w:val="uk-UA"/>
        </w:rPr>
        <w:t>до реєстраційного посвідчення</w:t>
      </w:r>
    </w:p>
    <w:p w:rsidR="007E1F21" w:rsidRPr="00854286" w:rsidRDefault="007E1F21" w:rsidP="00CE4A99">
      <w:pPr>
        <w:jc w:val="center"/>
        <w:rPr>
          <w:b/>
          <w:lang w:val="uk-UA"/>
        </w:rPr>
      </w:pPr>
    </w:p>
    <w:p w:rsidR="00CE4A99" w:rsidRPr="00854286" w:rsidRDefault="00CE4A99" w:rsidP="00CE4A99">
      <w:pPr>
        <w:jc w:val="center"/>
        <w:rPr>
          <w:b/>
          <w:lang w:val="uk-UA"/>
        </w:rPr>
      </w:pPr>
      <w:r w:rsidRPr="00854286">
        <w:rPr>
          <w:b/>
          <w:lang w:val="uk-UA"/>
        </w:rPr>
        <w:t>Коротка характеристика препарату</w:t>
      </w:r>
    </w:p>
    <w:p w:rsidR="00CE4A99" w:rsidRPr="00854286" w:rsidRDefault="00CE4A99" w:rsidP="00CE4A99">
      <w:pPr>
        <w:pStyle w:val="Standard"/>
        <w:ind w:firstLine="709"/>
        <w:jc w:val="both"/>
        <w:rPr>
          <w:rFonts w:ascii="Times New Roman" w:hAnsi="Times New Roman"/>
          <w:szCs w:val="24"/>
          <w:lang w:val="uk-UA"/>
        </w:rPr>
      </w:pPr>
      <w:r w:rsidRPr="00854286">
        <w:rPr>
          <w:rFonts w:ascii="Times New Roman" w:hAnsi="Times New Roman"/>
          <w:szCs w:val="24"/>
          <w:lang w:val="uk-UA"/>
        </w:rPr>
        <w:t xml:space="preserve"> </w:t>
      </w:r>
    </w:p>
    <w:p w:rsidR="00CE4A99" w:rsidRPr="000459D7" w:rsidRDefault="00CE4A99" w:rsidP="00CE4A99">
      <w:pPr>
        <w:ind w:firstLine="709"/>
        <w:jc w:val="both"/>
        <w:rPr>
          <w:lang w:val="uk-UA"/>
        </w:rPr>
      </w:pPr>
      <w:r w:rsidRPr="00854286">
        <w:rPr>
          <w:lang w:val="uk-UA"/>
        </w:rPr>
        <w:t xml:space="preserve"> </w:t>
      </w:r>
      <w:r w:rsidRPr="00854286">
        <w:rPr>
          <w:b/>
          <w:lang w:val="uk-UA"/>
        </w:rPr>
        <w:t xml:space="preserve">1.  Назва                                                                            </w:t>
      </w:r>
      <w:r w:rsidRPr="00854286">
        <w:rPr>
          <w:lang w:val="uk-UA"/>
        </w:rPr>
        <w:cr/>
        <w:t xml:space="preserve">             ЦЕФТІОФУР-ВС</w:t>
      </w:r>
      <w:r w:rsidRPr="00854286">
        <w:rPr>
          <w:lang w:val="uk-UA"/>
        </w:rPr>
        <w:cr/>
        <w:t xml:space="preserve">             </w:t>
      </w:r>
      <w:r w:rsidRPr="00854286">
        <w:rPr>
          <w:b/>
          <w:lang w:val="uk-UA"/>
        </w:rPr>
        <w:t>2. Склад</w:t>
      </w:r>
      <w:r w:rsidRPr="00854286">
        <w:rPr>
          <w:b/>
          <w:lang w:val="uk-UA"/>
        </w:rPr>
        <w:cr/>
        <w:t xml:space="preserve">          </w:t>
      </w:r>
      <w:r w:rsidRPr="00854286">
        <w:rPr>
          <w:b/>
          <w:lang w:val="uk-UA"/>
        </w:rPr>
        <w:tab/>
        <w:t xml:space="preserve"> </w:t>
      </w:r>
      <w:r w:rsidRPr="00854286">
        <w:rPr>
          <w:lang w:val="uk-UA"/>
        </w:rPr>
        <w:t xml:space="preserve">1 </w:t>
      </w:r>
      <w:r w:rsidRPr="000459D7">
        <w:rPr>
          <w:lang w:val="uk-UA"/>
        </w:rPr>
        <w:t>мл  препарату містить діючу речовину:</w:t>
      </w:r>
      <w:r w:rsidRPr="000459D7">
        <w:rPr>
          <w:lang w:val="uk-UA"/>
        </w:rPr>
        <w:cr/>
        <w:t xml:space="preserve">           </w:t>
      </w:r>
      <w:r w:rsidRPr="000459D7">
        <w:rPr>
          <w:lang w:val="uk-UA"/>
        </w:rPr>
        <w:tab/>
        <w:t xml:space="preserve"> цефтіофур  (як гідрохлорид) </w:t>
      </w:r>
      <w:r w:rsidR="00A00418" w:rsidRPr="000459D7">
        <w:rPr>
          <w:lang w:val="uk-UA"/>
        </w:rPr>
        <w:t>–</w:t>
      </w:r>
      <w:r w:rsidRPr="000459D7">
        <w:rPr>
          <w:lang w:val="uk-UA"/>
        </w:rPr>
        <w:t xml:space="preserve"> 50,0 мг.</w:t>
      </w:r>
    </w:p>
    <w:p w:rsidR="00CE4A99" w:rsidRPr="000459D7" w:rsidRDefault="00CE4A99" w:rsidP="00CE4A99">
      <w:pPr>
        <w:pStyle w:val="Standard"/>
        <w:ind w:firstLine="709"/>
        <w:jc w:val="both"/>
        <w:rPr>
          <w:rFonts w:ascii="Times New Roman" w:hAnsi="Times New Roman"/>
          <w:bCs/>
          <w:szCs w:val="24"/>
          <w:lang w:val="uk-UA"/>
        </w:rPr>
      </w:pPr>
      <w:r w:rsidRPr="000459D7">
        <w:rPr>
          <w:rFonts w:ascii="Times New Roman" w:hAnsi="Times New Roman"/>
          <w:szCs w:val="24"/>
          <w:lang w:val="uk-UA"/>
        </w:rPr>
        <w:t xml:space="preserve"> Допоміжні речовини: лецитин, сорбітану моноолеат</w:t>
      </w:r>
      <w:r w:rsidRPr="000459D7">
        <w:rPr>
          <w:rFonts w:ascii="Times New Roman" w:hAnsi="Times New Roman"/>
          <w:b/>
          <w:szCs w:val="24"/>
          <w:lang w:val="uk-UA"/>
        </w:rPr>
        <w:t xml:space="preserve">, </w:t>
      </w:r>
      <w:r w:rsidRPr="000459D7">
        <w:rPr>
          <w:rFonts w:ascii="Times New Roman" w:hAnsi="Times New Roman"/>
          <w:bCs/>
          <w:szCs w:val="24"/>
          <w:lang w:val="uk-UA"/>
        </w:rPr>
        <w:t>олія бавовняна</w:t>
      </w:r>
      <w:r w:rsidR="00A00418" w:rsidRPr="000459D7">
        <w:rPr>
          <w:rFonts w:ascii="Times New Roman" w:hAnsi="Times New Roman"/>
          <w:bCs/>
          <w:szCs w:val="24"/>
          <w:lang w:val="uk-UA"/>
        </w:rPr>
        <w:t>.</w:t>
      </w:r>
    </w:p>
    <w:p w:rsidR="00307257" w:rsidRPr="000459D7" w:rsidRDefault="00CE4A99" w:rsidP="00307257">
      <w:pPr>
        <w:ind w:firstLine="567"/>
        <w:jc w:val="both"/>
        <w:rPr>
          <w:b/>
          <w:i/>
          <w:snapToGrid w:val="0"/>
        </w:rPr>
      </w:pPr>
      <w:r w:rsidRPr="000459D7">
        <w:rPr>
          <w:b/>
          <w:lang w:val="uk-UA"/>
        </w:rPr>
        <w:t>3. Фармацевтична  форма</w:t>
      </w:r>
      <w:r w:rsidRPr="000459D7">
        <w:rPr>
          <w:i/>
          <w:lang w:val="uk-UA"/>
        </w:rPr>
        <w:t xml:space="preserve">        </w:t>
      </w:r>
      <w:r w:rsidRPr="000459D7">
        <w:rPr>
          <w:i/>
          <w:lang w:val="uk-UA"/>
        </w:rPr>
        <w:cr/>
        <w:t xml:space="preserve">          </w:t>
      </w:r>
      <w:r w:rsidRPr="000459D7">
        <w:rPr>
          <w:i/>
          <w:lang w:val="uk-UA"/>
        </w:rPr>
        <w:tab/>
      </w:r>
      <w:r w:rsidRPr="000459D7">
        <w:rPr>
          <w:lang w:val="uk-UA"/>
        </w:rPr>
        <w:t>Суспензія для ін’єкцій.</w:t>
      </w:r>
      <w:r w:rsidRPr="000459D7">
        <w:rPr>
          <w:lang w:val="uk-UA"/>
        </w:rPr>
        <w:cr/>
        <w:t xml:space="preserve">            </w:t>
      </w:r>
      <w:r w:rsidRPr="000459D7">
        <w:rPr>
          <w:b/>
          <w:lang w:val="uk-UA"/>
        </w:rPr>
        <w:t>4. Фармакологічні властивості</w:t>
      </w:r>
      <w:r w:rsidRPr="000459D7">
        <w:rPr>
          <w:b/>
          <w:lang w:val="uk-UA"/>
        </w:rPr>
        <w:cr/>
      </w:r>
      <w:r w:rsidR="00307257" w:rsidRPr="000459D7">
        <w:rPr>
          <w:b/>
          <w:i/>
        </w:rPr>
        <w:t xml:space="preserve"> ATC</w:t>
      </w:r>
      <w:r w:rsidR="00307257" w:rsidRPr="000459D7">
        <w:rPr>
          <w:b/>
          <w:i/>
          <w:lang w:val="uk-UA"/>
        </w:rPr>
        <w:t xml:space="preserve"> </w:t>
      </w:r>
      <w:r w:rsidR="00307257" w:rsidRPr="000459D7">
        <w:rPr>
          <w:b/>
          <w:i/>
          <w:lang w:val="en-US"/>
        </w:rPr>
        <w:t>vet</w:t>
      </w:r>
      <w:r w:rsidR="00307257" w:rsidRPr="000459D7">
        <w:rPr>
          <w:b/>
          <w:i/>
          <w:lang w:val="uk-UA"/>
        </w:rPr>
        <w:t xml:space="preserve"> класифікаційний код </w:t>
      </w:r>
      <w:r w:rsidR="00307257" w:rsidRPr="000459D7">
        <w:rPr>
          <w:b/>
          <w:i/>
        </w:rPr>
        <w:t>QJ</w:t>
      </w:r>
      <w:r w:rsidR="00307257" w:rsidRPr="000459D7">
        <w:rPr>
          <w:b/>
          <w:i/>
          <w:lang w:val="uk-UA"/>
        </w:rPr>
        <w:t>01 – антиба</w:t>
      </w:r>
      <w:r w:rsidR="00307257" w:rsidRPr="000459D7">
        <w:rPr>
          <w:b/>
          <w:i/>
        </w:rPr>
        <w:t xml:space="preserve">ктеріальні ветеринарні препарати для системного застосування. </w:t>
      </w:r>
      <w:r w:rsidR="00307257" w:rsidRPr="000459D7">
        <w:rPr>
          <w:b/>
          <w:i/>
          <w:lang w:val="en-US"/>
        </w:rPr>
        <w:t>QJ</w:t>
      </w:r>
      <w:r w:rsidR="00307257" w:rsidRPr="000459D7">
        <w:rPr>
          <w:b/>
          <w:i/>
        </w:rPr>
        <w:t>01</w:t>
      </w:r>
      <w:r w:rsidR="00307257" w:rsidRPr="000459D7">
        <w:rPr>
          <w:b/>
          <w:i/>
          <w:lang w:val="en-US"/>
        </w:rPr>
        <w:t>DD</w:t>
      </w:r>
      <w:r w:rsidR="00307257" w:rsidRPr="000459D7">
        <w:rPr>
          <w:b/>
          <w:i/>
        </w:rPr>
        <w:t>90 – Цефтіофур.</w:t>
      </w:r>
    </w:p>
    <w:p w:rsidR="00307257" w:rsidRPr="000459D7" w:rsidRDefault="00307257" w:rsidP="00307257">
      <w:pPr>
        <w:ind w:firstLine="709"/>
        <w:jc w:val="both"/>
      </w:pPr>
      <w:r w:rsidRPr="000459D7">
        <w:t xml:space="preserve">Цефтіофур є напівсинтетичним антибіотиком групи цефалоспоринів третього покоління. Він характеризується широким спектром бактерицидної дії </w:t>
      </w:r>
      <w:r w:rsidRPr="000459D7">
        <w:rPr>
          <w:lang w:val="uk-UA"/>
        </w:rPr>
        <w:t>проти</w:t>
      </w:r>
      <w:r w:rsidRPr="000459D7">
        <w:t xml:space="preserve"> грампозитивних </w:t>
      </w:r>
      <w:r w:rsidRPr="000459D7">
        <w:rPr>
          <w:lang w:val="uk-UA"/>
        </w:rPr>
        <w:t>(</w:t>
      </w:r>
      <w:r w:rsidRPr="000459D7">
        <w:rPr>
          <w:i/>
          <w:lang w:val="uk-UA"/>
        </w:rPr>
        <w:t>Streptococcus zooepidemicus, Streptococcus suis, Staphylococcus spp., Bacillus spp., Actynomyces pyogenes</w:t>
      </w:r>
      <w:r w:rsidRPr="000459D7">
        <w:rPr>
          <w:lang w:val="uk-UA"/>
        </w:rPr>
        <w:t>), грамнегативних</w:t>
      </w:r>
      <w:r w:rsidRPr="000459D7">
        <w:rPr>
          <w:i/>
          <w:lang w:val="uk-UA"/>
        </w:rPr>
        <w:t xml:space="preserve"> </w:t>
      </w:r>
      <w:r w:rsidRPr="000459D7">
        <w:rPr>
          <w:lang w:val="uk-UA"/>
        </w:rPr>
        <w:t>(</w:t>
      </w:r>
      <w:r w:rsidRPr="000459D7">
        <w:rPr>
          <w:i/>
          <w:lang w:val="uk-UA"/>
        </w:rPr>
        <w:t>Pasteurella (Mannheimia) haemolytica, Pasteurella multocida, Haemophilius somnus, Haemophilius parasuis, Actinobacillus pleuropneumoniae, Escherichia coli, Salmonella cholerasuis, Salmonella typhimurium, Fusobacterium necrophorum, Bacteroides melaninogenicus, Klebsiella spp., Citrobacter spp., Proteus spp., Porphyromonas assacharolytica</w:t>
      </w:r>
      <w:r w:rsidRPr="000459D7">
        <w:rPr>
          <w:lang w:val="uk-UA"/>
        </w:rPr>
        <w:t>) бактерій</w:t>
      </w:r>
      <w:r w:rsidRPr="000459D7">
        <w:t>, включно видів, які продукують бета-лактамазу. Цефтіофур інгібує синтез клітинної стінки бактерій, таким чином викликаючи бактерицидну дію.</w:t>
      </w:r>
    </w:p>
    <w:p w:rsidR="00307257" w:rsidRPr="000459D7" w:rsidRDefault="00307257" w:rsidP="00307257">
      <w:pPr>
        <w:ind w:firstLine="709"/>
        <w:jc w:val="both"/>
      </w:pPr>
      <w:r w:rsidRPr="000459D7">
        <w:t>При одноразовому внутрішньом’язовому введенні препарату свиням у дозі 3 мг цефтіофуру на 1 кг маси тіла максимальна концентрація (С</w:t>
      </w:r>
      <w:r w:rsidRPr="000459D7">
        <w:rPr>
          <w:vertAlign w:val="subscript"/>
        </w:rPr>
        <w:t>мах</w:t>
      </w:r>
      <w:r w:rsidRPr="000459D7">
        <w:t>) у плазмі</w:t>
      </w:r>
      <w:r w:rsidRPr="000459D7">
        <w:rPr>
          <w:lang w:val="uk-UA"/>
        </w:rPr>
        <w:t xml:space="preserve"> крові</w:t>
      </w:r>
      <w:r w:rsidRPr="000459D7">
        <w:t xml:space="preserve">, що становить приблизно 9 мкг/мл, досягається приблизно через 1 годину. </w:t>
      </w:r>
      <w:r w:rsidRPr="000459D7">
        <w:rPr>
          <w:lang w:val="uk-UA"/>
        </w:rPr>
        <w:t>Кінцевий елімінаційний період напіврозпаду (</w:t>
      </w:r>
      <w:r w:rsidRPr="000459D7">
        <w:rPr>
          <w:lang w:val="en-US"/>
        </w:rPr>
        <w:t>t</w:t>
      </w:r>
      <w:r w:rsidRPr="000459D7">
        <w:rPr>
          <w:vertAlign w:val="subscript"/>
          <w:lang w:val="uk-UA"/>
        </w:rPr>
        <w:t>1/2</w:t>
      </w:r>
      <w:r w:rsidRPr="000459D7">
        <w:rPr>
          <w:lang w:val="uk-UA"/>
        </w:rPr>
        <w:t>) десфуроілцефтіофуру становить 23 години.</w:t>
      </w:r>
      <w:r w:rsidRPr="000459D7">
        <w:t xml:space="preserve"> Після застосування препарату в дозі 3 мг цефтіофуру на 1 кг маси тіла на добу протягом 3 діб, акумуляції десфуроілцефтіофуру не відмічено. У свиней цефтіофур виводиться переважно з сечею (більше 70%), 12-15% </w:t>
      </w:r>
      <w:r w:rsidRPr="000459D7">
        <w:rPr>
          <w:lang w:val="uk-UA"/>
        </w:rPr>
        <w:t>виводиться</w:t>
      </w:r>
      <w:r w:rsidRPr="000459D7">
        <w:t xml:space="preserve"> з фекаліями.</w:t>
      </w:r>
    </w:p>
    <w:p w:rsidR="00307257" w:rsidRPr="000459D7" w:rsidRDefault="00307257" w:rsidP="00307257">
      <w:pPr>
        <w:ind w:firstLine="709"/>
        <w:jc w:val="both"/>
      </w:pPr>
      <w:r w:rsidRPr="000459D7">
        <w:t>При одноразовому підшкірному введенні препарату великій рогатій худобі в дозі 1 мг цефтіофуру на 1 кг маси тіла тварини, максимальна концентрація (С</w:t>
      </w:r>
      <w:r w:rsidRPr="000459D7">
        <w:rPr>
          <w:vertAlign w:val="subscript"/>
        </w:rPr>
        <w:t>мах</w:t>
      </w:r>
      <w:r w:rsidRPr="000459D7">
        <w:t>) у плазмі, що становить 2 мкг/мл, досягається через 2.5 години. Після парентерального застосування препарату період напіврозпаду (</w:t>
      </w:r>
      <w:r w:rsidRPr="000459D7">
        <w:rPr>
          <w:lang w:val="en-US"/>
        </w:rPr>
        <w:t>t</w:t>
      </w:r>
      <w:r w:rsidRPr="000459D7">
        <w:rPr>
          <w:vertAlign w:val="subscript"/>
        </w:rPr>
        <w:t>1/2</w:t>
      </w:r>
      <w:r w:rsidRPr="000459D7">
        <w:t>) цефтіофуру у великої рогатої худоби становить приблизно 18 годин. У деяких випадках спостерігали підвищення максимальної концентрації С</w:t>
      </w:r>
      <w:r w:rsidRPr="000459D7">
        <w:rPr>
          <w:vertAlign w:val="subscript"/>
        </w:rPr>
        <w:t>мах</w:t>
      </w:r>
      <w:r w:rsidRPr="000459D7">
        <w:t xml:space="preserve"> до 2.25 мкг/мл, яка досягалася приблизно через 5 годин після одноразового введення цефтіофуру. Виводиться цефтіофур у великої рогатої худоби переважно з сечею (більше 55%) і з фекаліями (31%).</w:t>
      </w:r>
    </w:p>
    <w:p w:rsidR="00307257" w:rsidRPr="000459D7" w:rsidRDefault="00307257" w:rsidP="00307257">
      <w:pPr>
        <w:ind w:firstLine="709"/>
        <w:jc w:val="both"/>
        <w:rPr>
          <w:bCs/>
        </w:rPr>
      </w:pPr>
      <w:r w:rsidRPr="000459D7">
        <w:rPr>
          <w:shd w:val="clear" w:color="auto" w:fill="FFFFFF"/>
        </w:rPr>
        <w:t xml:space="preserve">Після підшкірної ін’єкції </w:t>
      </w:r>
      <w:r w:rsidRPr="000459D7">
        <w:rPr>
          <w:shd w:val="clear" w:color="auto" w:fill="FFFFFF"/>
          <w:lang w:val="uk-UA"/>
        </w:rPr>
        <w:t xml:space="preserve">препарату </w:t>
      </w:r>
      <w:r w:rsidRPr="000459D7">
        <w:rPr>
          <w:shd w:val="clear" w:color="auto" w:fill="FFFFFF"/>
        </w:rPr>
        <w:t>собакам абсолютна біодоступність</w:t>
      </w:r>
      <w:r w:rsidRPr="000459D7">
        <w:rPr>
          <w:shd w:val="clear" w:color="auto" w:fill="FFFFFF"/>
          <w:lang w:val="uk-UA"/>
        </w:rPr>
        <w:t xml:space="preserve"> цефтіофуру станов</w:t>
      </w:r>
      <w:r w:rsidR="00844F78" w:rsidRPr="00EE4CBE">
        <w:rPr>
          <w:shd w:val="clear" w:color="auto" w:fill="FFFFFF"/>
          <w:lang w:val="uk-UA"/>
        </w:rPr>
        <w:t>и</w:t>
      </w:r>
      <w:r w:rsidRPr="000459D7">
        <w:rPr>
          <w:shd w:val="clear" w:color="auto" w:fill="FFFFFF"/>
          <w:lang w:val="uk-UA"/>
        </w:rPr>
        <w:t xml:space="preserve">ла </w:t>
      </w:r>
      <w:r w:rsidRPr="000459D7">
        <w:rPr>
          <w:shd w:val="clear" w:color="auto" w:fill="FFFFFF"/>
        </w:rPr>
        <w:t>93,7 %</w:t>
      </w:r>
      <w:r w:rsidRPr="000459D7">
        <w:rPr>
          <w:shd w:val="clear" w:color="auto" w:fill="FFFFFF"/>
          <w:lang w:val="uk-UA"/>
        </w:rPr>
        <w:t>, максимальна</w:t>
      </w:r>
      <w:r w:rsidRPr="000459D7">
        <w:rPr>
          <w:shd w:val="clear" w:color="auto" w:fill="FFFFFF"/>
        </w:rPr>
        <w:t xml:space="preserve"> концентрація (C</w:t>
      </w:r>
      <w:r w:rsidRPr="000459D7">
        <w:rPr>
          <w:shd w:val="clear" w:color="auto" w:fill="FFFFFF"/>
          <w:vertAlign w:val="subscript"/>
        </w:rPr>
        <w:t>max</w:t>
      </w:r>
      <w:r w:rsidRPr="000459D7">
        <w:rPr>
          <w:shd w:val="clear" w:color="auto" w:fill="FFFFFF"/>
        </w:rPr>
        <w:t>)</w:t>
      </w:r>
      <w:r w:rsidRPr="000459D7">
        <w:rPr>
          <w:shd w:val="clear" w:color="auto" w:fill="FFFFFF"/>
          <w:lang w:val="uk-UA"/>
        </w:rPr>
        <w:t xml:space="preserve"> цефтіофуру (</w:t>
      </w:r>
      <w:r w:rsidRPr="000459D7">
        <w:rPr>
          <w:shd w:val="clear" w:color="auto" w:fill="FFFFFF"/>
        </w:rPr>
        <w:t>10,50 мкг/мл</w:t>
      </w:r>
      <w:r w:rsidRPr="000459D7">
        <w:rPr>
          <w:shd w:val="clear" w:color="auto" w:fill="FFFFFF"/>
          <w:lang w:val="uk-UA"/>
        </w:rPr>
        <w:t>) у плазмі крові досягалася</w:t>
      </w:r>
      <w:r w:rsidRPr="000459D7">
        <w:rPr>
          <w:shd w:val="clear" w:color="auto" w:fill="FFFFFF"/>
        </w:rPr>
        <w:t xml:space="preserve"> через 3,2 години,</w:t>
      </w:r>
      <w:r w:rsidRPr="000459D7">
        <w:rPr>
          <w:shd w:val="clear" w:color="auto" w:fill="FFFFFF"/>
          <w:lang w:val="uk-UA"/>
        </w:rPr>
        <w:t xml:space="preserve"> </w:t>
      </w:r>
      <w:r w:rsidRPr="000459D7">
        <w:rPr>
          <w:shd w:val="clear" w:color="auto" w:fill="FFFFFF"/>
        </w:rPr>
        <w:t xml:space="preserve">а період </w:t>
      </w:r>
      <w:r w:rsidRPr="000459D7">
        <w:rPr>
          <w:shd w:val="clear" w:color="auto" w:fill="FFFFFF"/>
          <w:lang w:val="uk-UA"/>
        </w:rPr>
        <w:t>напіввиведення</w:t>
      </w:r>
      <w:r w:rsidRPr="000459D7">
        <w:rPr>
          <w:shd w:val="clear" w:color="auto" w:fill="FFFFFF"/>
        </w:rPr>
        <w:t xml:space="preserve"> (t</w:t>
      </w:r>
      <w:r w:rsidRPr="000459D7">
        <w:rPr>
          <w:shd w:val="clear" w:color="auto" w:fill="FFFFFF"/>
          <w:vertAlign w:val="subscript"/>
        </w:rPr>
        <w:t>1/2 ka</w:t>
      </w:r>
      <w:r w:rsidRPr="000459D7">
        <w:rPr>
          <w:shd w:val="clear" w:color="auto" w:fill="FFFFFF"/>
        </w:rPr>
        <w:t>) становив 45±15 хвилин</w:t>
      </w:r>
      <w:r w:rsidRPr="000459D7">
        <w:rPr>
          <w:shd w:val="clear" w:color="auto" w:fill="FFFFFF"/>
          <w:lang w:val="uk-UA"/>
        </w:rPr>
        <w:t>.</w:t>
      </w:r>
      <w:r w:rsidRPr="000459D7">
        <w:rPr>
          <w:shd w:val="clear" w:color="auto" w:fill="FFFFFF"/>
        </w:rPr>
        <w:t xml:space="preserve"> </w:t>
      </w:r>
    </w:p>
    <w:p w:rsidR="00307257" w:rsidRPr="000459D7" w:rsidRDefault="00307257" w:rsidP="00307257">
      <w:pPr>
        <w:pStyle w:val="Standard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0459D7">
        <w:rPr>
          <w:rFonts w:ascii="Times New Roman" w:hAnsi="Times New Roman"/>
          <w:b/>
          <w:szCs w:val="24"/>
          <w:lang w:val="uk-UA"/>
        </w:rPr>
        <w:t>5.   Клінічні особливості</w:t>
      </w:r>
    </w:p>
    <w:p w:rsidR="00307257" w:rsidRPr="000459D7" w:rsidRDefault="00307257" w:rsidP="00307257">
      <w:pPr>
        <w:ind w:firstLine="709"/>
        <w:jc w:val="both"/>
      </w:pPr>
      <w:r w:rsidRPr="000459D7">
        <w:rPr>
          <w:b/>
        </w:rPr>
        <w:t>5.1  Види тварин</w:t>
      </w:r>
      <w:r w:rsidRPr="000459D7">
        <w:t xml:space="preserve">   </w:t>
      </w:r>
    </w:p>
    <w:p w:rsidR="00307257" w:rsidRPr="000459D7" w:rsidRDefault="00307257" w:rsidP="00307257">
      <w:pPr>
        <w:ind w:firstLine="708"/>
        <w:jc w:val="both"/>
        <w:rPr>
          <w:lang w:val="uk-UA"/>
        </w:rPr>
      </w:pPr>
      <w:r w:rsidRPr="000459D7">
        <w:t>Велика рогата худоба, свині</w:t>
      </w:r>
      <w:r w:rsidRPr="000459D7">
        <w:rPr>
          <w:lang w:val="uk-UA"/>
        </w:rPr>
        <w:t>, собаки.</w:t>
      </w:r>
    </w:p>
    <w:p w:rsidR="00307257" w:rsidRPr="000459D7" w:rsidRDefault="00307257" w:rsidP="00307257">
      <w:pPr>
        <w:ind w:firstLine="708"/>
        <w:jc w:val="both"/>
        <w:rPr>
          <w:b/>
          <w:lang w:val="uk-UA"/>
        </w:rPr>
      </w:pPr>
      <w:r w:rsidRPr="000459D7">
        <w:rPr>
          <w:b/>
          <w:lang w:val="uk-UA"/>
        </w:rPr>
        <w:t>5.2  Покази до застосування</w:t>
      </w:r>
    </w:p>
    <w:p w:rsidR="00307257" w:rsidRPr="000459D7" w:rsidRDefault="00307257" w:rsidP="00307257">
      <w:pPr>
        <w:ind w:firstLine="720"/>
        <w:jc w:val="both"/>
        <w:rPr>
          <w:lang w:val="uk-UA"/>
        </w:rPr>
      </w:pPr>
      <w:r w:rsidRPr="000459D7">
        <w:rPr>
          <w:lang w:val="uk-UA"/>
        </w:rPr>
        <w:t xml:space="preserve">Велика рогата худоба: лікування тварин при захворюваннях органів дихання, що спричинені </w:t>
      </w:r>
      <w:r w:rsidRPr="000459D7">
        <w:rPr>
          <w:i/>
          <w:iCs/>
          <w:lang w:val="uk-UA"/>
        </w:rPr>
        <w:t>Pasteurella haemolytica, Pasteurella multocida</w:t>
      </w:r>
      <w:r w:rsidRPr="000459D7">
        <w:rPr>
          <w:lang w:val="uk-UA"/>
        </w:rPr>
        <w:t xml:space="preserve"> та </w:t>
      </w:r>
      <w:r w:rsidRPr="000459D7">
        <w:rPr>
          <w:i/>
          <w:iCs/>
          <w:lang w:val="uk-UA"/>
        </w:rPr>
        <w:t>Haemophilus somnus</w:t>
      </w:r>
      <w:r w:rsidRPr="000459D7">
        <w:rPr>
          <w:lang w:val="uk-UA"/>
        </w:rPr>
        <w:t xml:space="preserve">, а також лікування тварин, хворих на гострий некробактеріоз, спричинений </w:t>
      </w:r>
      <w:r w:rsidRPr="000459D7">
        <w:rPr>
          <w:i/>
          <w:iCs/>
          <w:lang w:val="uk-UA"/>
        </w:rPr>
        <w:t>Fusobacterium necrophorum</w:t>
      </w:r>
      <w:r w:rsidRPr="000459D7">
        <w:rPr>
          <w:lang w:val="uk-UA"/>
        </w:rPr>
        <w:t xml:space="preserve"> та </w:t>
      </w:r>
      <w:r w:rsidRPr="000459D7">
        <w:rPr>
          <w:i/>
          <w:iCs/>
          <w:lang w:val="uk-UA"/>
        </w:rPr>
        <w:t xml:space="preserve">Bacteroides melaninogenicus </w:t>
      </w:r>
      <w:r w:rsidRPr="000459D7">
        <w:rPr>
          <w:iCs/>
          <w:lang w:val="uk-UA"/>
        </w:rPr>
        <w:t>(</w:t>
      </w:r>
      <w:r w:rsidRPr="000459D7">
        <w:rPr>
          <w:i/>
          <w:iCs/>
          <w:lang w:val="uk-UA"/>
        </w:rPr>
        <w:t>Phorphyromonas asaccharolytica</w:t>
      </w:r>
      <w:r w:rsidRPr="000459D7">
        <w:rPr>
          <w:iCs/>
          <w:lang w:val="uk-UA"/>
        </w:rPr>
        <w:t>),</w:t>
      </w:r>
      <w:r w:rsidRPr="000459D7">
        <w:rPr>
          <w:i/>
          <w:iCs/>
          <w:lang w:val="uk-UA"/>
        </w:rPr>
        <w:t xml:space="preserve"> </w:t>
      </w:r>
      <w:r w:rsidRPr="000459D7">
        <w:rPr>
          <w:iCs/>
          <w:lang w:val="uk-UA"/>
        </w:rPr>
        <w:t xml:space="preserve">та гострий </w:t>
      </w:r>
      <w:bookmarkStart w:id="0" w:name="_Hlk188526129"/>
      <w:r w:rsidRPr="000459D7">
        <w:rPr>
          <w:iCs/>
          <w:lang w:val="uk-UA"/>
        </w:rPr>
        <w:t>післяродовий метрит протягом 10 діб після отелення</w:t>
      </w:r>
      <w:bookmarkEnd w:id="0"/>
      <w:r w:rsidRPr="000459D7">
        <w:rPr>
          <w:iCs/>
          <w:lang w:val="uk-UA"/>
        </w:rPr>
        <w:t xml:space="preserve">, спричинений </w:t>
      </w:r>
      <w:r w:rsidRPr="000459D7">
        <w:rPr>
          <w:i/>
          <w:iCs/>
          <w:lang w:val="uk-UA"/>
        </w:rPr>
        <w:t xml:space="preserve">Escherichia coli, Arcanobacterium pyogenes </w:t>
      </w:r>
      <w:r w:rsidRPr="000459D7">
        <w:rPr>
          <w:iCs/>
          <w:lang w:val="uk-UA"/>
        </w:rPr>
        <w:t>та</w:t>
      </w:r>
      <w:r w:rsidRPr="000459D7">
        <w:rPr>
          <w:i/>
          <w:iCs/>
          <w:lang w:val="uk-UA"/>
        </w:rPr>
        <w:t xml:space="preserve"> Fusobacterium necrophorum</w:t>
      </w:r>
      <w:r w:rsidRPr="000459D7">
        <w:rPr>
          <w:lang w:val="uk-UA"/>
        </w:rPr>
        <w:t xml:space="preserve">, які чутливі до цефтіофуру. </w:t>
      </w:r>
    </w:p>
    <w:p w:rsidR="00307257" w:rsidRPr="000459D7" w:rsidRDefault="00307257" w:rsidP="00307257">
      <w:pPr>
        <w:ind w:firstLine="709"/>
        <w:jc w:val="both"/>
        <w:rPr>
          <w:lang w:val="uk-UA"/>
        </w:rPr>
      </w:pPr>
    </w:p>
    <w:p w:rsidR="00307257" w:rsidRPr="000459D7" w:rsidRDefault="00307257" w:rsidP="00307257">
      <w:pPr>
        <w:ind w:firstLine="709"/>
        <w:jc w:val="both"/>
        <w:rPr>
          <w:lang w:val="uk-UA"/>
        </w:rPr>
      </w:pPr>
    </w:p>
    <w:p w:rsidR="00307257" w:rsidRPr="000459D7" w:rsidRDefault="00307257" w:rsidP="00307257">
      <w:pPr>
        <w:jc w:val="right"/>
        <w:rPr>
          <w:lang w:val="uk-UA"/>
        </w:rPr>
      </w:pPr>
      <w:r w:rsidRPr="000459D7">
        <w:rPr>
          <w:lang w:val="uk-UA"/>
        </w:rPr>
        <w:lastRenderedPageBreak/>
        <w:t>Продовження додатку 1</w:t>
      </w:r>
    </w:p>
    <w:p w:rsidR="00307257" w:rsidRPr="000459D7" w:rsidRDefault="00307257" w:rsidP="00307257">
      <w:pPr>
        <w:jc w:val="right"/>
        <w:rPr>
          <w:lang w:val="uk-UA"/>
        </w:rPr>
      </w:pPr>
      <w:r w:rsidRPr="000459D7">
        <w:rPr>
          <w:lang w:val="uk-UA"/>
        </w:rPr>
        <w:t>до реєстраційного посвідчення</w:t>
      </w:r>
    </w:p>
    <w:p w:rsidR="00307257" w:rsidRPr="000459D7" w:rsidRDefault="00307257" w:rsidP="00307257">
      <w:pPr>
        <w:jc w:val="center"/>
        <w:rPr>
          <w:b/>
          <w:lang w:val="uk-UA"/>
        </w:rPr>
      </w:pPr>
    </w:p>
    <w:p w:rsidR="00307257" w:rsidRPr="000459D7" w:rsidRDefault="00307257" w:rsidP="00307257">
      <w:pPr>
        <w:jc w:val="center"/>
        <w:rPr>
          <w:b/>
          <w:lang w:val="uk-UA"/>
        </w:rPr>
      </w:pPr>
    </w:p>
    <w:p w:rsidR="00307257" w:rsidRPr="000459D7" w:rsidRDefault="00307257" w:rsidP="00307257">
      <w:pPr>
        <w:ind w:firstLine="709"/>
        <w:jc w:val="both"/>
        <w:rPr>
          <w:b/>
          <w:lang w:val="uk-UA"/>
        </w:rPr>
      </w:pPr>
      <w:r w:rsidRPr="000459D7">
        <w:rPr>
          <w:lang w:val="uk-UA"/>
        </w:rPr>
        <w:t>Свині: лікування тварин при захворюванні органів дихання, що спричинені</w:t>
      </w:r>
      <w:r w:rsidRPr="000459D7">
        <w:rPr>
          <w:i/>
          <w:iCs/>
          <w:lang w:val="uk-UA"/>
        </w:rPr>
        <w:t xml:space="preserve"> Actinobacillus pleuropneumoniae, Pasteurella multocida</w:t>
      </w:r>
      <w:r w:rsidRPr="000459D7">
        <w:rPr>
          <w:lang w:val="uk-UA"/>
        </w:rPr>
        <w:t xml:space="preserve">, </w:t>
      </w:r>
      <w:r w:rsidRPr="000459D7">
        <w:rPr>
          <w:i/>
          <w:iCs/>
          <w:lang w:val="uk-UA"/>
        </w:rPr>
        <w:t>Streptococcus suis,</w:t>
      </w:r>
      <w:r w:rsidRPr="000459D7">
        <w:rPr>
          <w:lang w:val="uk-UA"/>
        </w:rPr>
        <w:t xml:space="preserve"> які чутливі до цефтіофуру.</w:t>
      </w:r>
      <w:r w:rsidRPr="000459D7">
        <w:rPr>
          <w:b/>
          <w:lang w:val="uk-UA"/>
        </w:rPr>
        <w:t xml:space="preserve"> </w:t>
      </w:r>
    </w:p>
    <w:p w:rsidR="00307257" w:rsidRPr="000459D7" w:rsidRDefault="00307257" w:rsidP="00307257">
      <w:pPr>
        <w:ind w:firstLine="720"/>
        <w:jc w:val="both"/>
        <w:rPr>
          <w:lang w:val="uk-UA"/>
        </w:rPr>
      </w:pPr>
      <w:r w:rsidRPr="000459D7">
        <w:rPr>
          <w:lang w:val="uk-UA"/>
        </w:rPr>
        <w:t xml:space="preserve">Собаки: </w:t>
      </w:r>
      <w:r w:rsidRPr="000459D7">
        <w:rPr>
          <w:shd w:val="clear" w:color="auto" w:fill="FFFFFF"/>
          <w:lang w:val="uk-UA"/>
        </w:rPr>
        <w:t>лікування тварин при захворюваннях органів дихання, сечостатевої системи та шкіри (піодермія), що спричинені мікроорганізмами, чутливими до цефтіофуру.</w:t>
      </w:r>
    </w:p>
    <w:p w:rsidR="00307257" w:rsidRPr="000459D7" w:rsidRDefault="00307257" w:rsidP="00307257">
      <w:pPr>
        <w:ind w:firstLine="709"/>
        <w:jc w:val="both"/>
        <w:rPr>
          <w:b/>
        </w:rPr>
      </w:pPr>
      <w:r w:rsidRPr="000459D7">
        <w:rPr>
          <w:b/>
        </w:rPr>
        <w:t>5.3  Протипоказання</w:t>
      </w:r>
    </w:p>
    <w:p w:rsidR="00307257" w:rsidRPr="000459D7" w:rsidRDefault="00307257" w:rsidP="00307257">
      <w:pPr>
        <w:ind w:firstLine="709"/>
        <w:jc w:val="both"/>
        <w:rPr>
          <w:bCs/>
        </w:rPr>
      </w:pPr>
      <w:r w:rsidRPr="000459D7">
        <w:rPr>
          <w:iCs/>
          <w:lang w:val="uk-UA"/>
        </w:rPr>
        <w:t>Не застосовувати тваринам з підвищеною чутливістю до цефтіофуру чи інших бета-лактамних антибіотиків.</w:t>
      </w:r>
      <w:r w:rsidRPr="000459D7">
        <w:rPr>
          <w:bCs/>
        </w:rPr>
        <w:t xml:space="preserve">    </w:t>
      </w:r>
    </w:p>
    <w:p w:rsidR="00307257" w:rsidRPr="000459D7" w:rsidRDefault="00307257" w:rsidP="00307257">
      <w:pPr>
        <w:ind w:firstLine="709"/>
        <w:jc w:val="both"/>
        <w:rPr>
          <w:bCs/>
        </w:rPr>
      </w:pPr>
      <w:r w:rsidRPr="000459D7">
        <w:rPr>
          <w:lang w:val="uk-UA"/>
        </w:rPr>
        <w:t>Не застосовувати одночасно з бактеріостатичними антибіотиками (макролідами, сульфаніламідами та тетрациклінами).</w:t>
      </w:r>
    </w:p>
    <w:p w:rsidR="00307257" w:rsidRPr="000459D7" w:rsidRDefault="00307257" w:rsidP="00307257">
      <w:pPr>
        <w:ind w:firstLine="709"/>
        <w:jc w:val="both"/>
        <w:rPr>
          <w:bCs/>
        </w:rPr>
      </w:pPr>
      <w:r w:rsidRPr="000459D7">
        <w:rPr>
          <w:iCs/>
        </w:rPr>
        <w:t>Не застосовувати внутрішньовенно!</w:t>
      </w:r>
    </w:p>
    <w:p w:rsidR="00307257" w:rsidRPr="000459D7" w:rsidRDefault="00307257" w:rsidP="00307257">
      <w:pPr>
        <w:ind w:firstLine="709"/>
        <w:jc w:val="both"/>
      </w:pPr>
      <w:r w:rsidRPr="000459D7">
        <w:rPr>
          <w:bCs/>
        </w:rPr>
        <w:t xml:space="preserve">Не застосовувати тваринам з нирковою недостатністю. </w:t>
      </w:r>
      <w:r w:rsidRPr="000459D7">
        <w:t>Не застосовувати як профілактичний засіб у випадку затримки плаценти.</w:t>
      </w:r>
    </w:p>
    <w:p w:rsidR="00307257" w:rsidRPr="000459D7" w:rsidRDefault="00307257" w:rsidP="00307257">
      <w:pPr>
        <w:ind w:firstLine="709"/>
        <w:jc w:val="both"/>
        <w:rPr>
          <w:b/>
        </w:rPr>
      </w:pPr>
      <w:r w:rsidRPr="000459D7">
        <w:rPr>
          <w:b/>
        </w:rPr>
        <w:t>5.4 Побічна дія</w:t>
      </w:r>
    </w:p>
    <w:p w:rsidR="00307257" w:rsidRPr="000459D7" w:rsidRDefault="00307257" w:rsidP="00307257">
      <w:pPr>
        <w:ind w:firstLine="567"/>
        <w:jc w:val="both"/>
        <w:rPr>
          <w:lang w:val="uk-UA"/>
        </w:rPr>
      </w:pPr>
      <w:r w:rsidRPr="000459D7">
        <w:rPr>
          <w:lang w:val="uk-UA"/>
        </w:rPr>
        <w:t>Можливі реакції гіперчутливості, які не залежать від дози препарату. Час від часу можуть виникати алергічні реакції, зокрема</w:t>
      </w:r>
      <w:r w:rsidR="00A00418" w:rsidRPr="000459D7">
        <w:rPr>
          <w:lang w:val="uk-UA"/>
        </w:rPr>
        <w:t>,</w:t>
      </w:r>
      <w:r w:rsidRPr="000459D7">
        <w:rPr>
          <w:lang w:val="uk-UA"/>
        </w:rPr>
        <w:t xml:space="preserve"> шкірні прояви та анафілаксія. </w:t>
      </w:r>
    </w:p>
    <w:p w:rsidR="00307257" w:rsidRDefault="00307257" w:rsidP="00307257">
      <w:pPr>
        <w:ind w:firstLine="567"/>
        <w:jc w:val="both"/>
        <w:rPr>
          <w:lang w:val="uk-UA"/>
        </w:rPr>
      </w:pPr>
      <w:r w:rsidRPr="000459D7">
        <w:rPr>
          <w:lang w:val="uk-UA"/>
        </w:rPr>
        <w:t>У свиней інколи спостерігають незначні локальні реакції в місці введення препарату – наприклад, тимчасове знебарвлення сполучної ткани</w:t>
      </w:r>
      <w:r w:rsidRPr="00CD4CEB">
        <w:rPr>
          <w:lang w:val="uk-UA"/>
        </w:rPr>
        <w:t xml:space="preserve">ни або жиру, які можуть тривати до 20 </w:t>
      </w:r>
      <w:r>
        <w:rPr>
          <w:lang w:val="uk-UA"/>
        </w:rPr>
        <w:t>діб</w:t>
      </w:r>
      <w:r w:rsidRPr="00CD4CEB">
        <w:rPr>
          <w:lang w:val="uk-UA"/>
        </w:rPr>
        <w:t xml:space="preserve"> після ін'єкції. </w:t>
      </w:r>
    </w:p>
    <w:p w:rsidR="00307257" w:rsidRPr="00B54AC8" w:rsidRDefault="00307257" w:rsidP="00307257">
      <w:pPr>
        <w:suppressAutoHyphens/>
        <w:autoSpaceDE w:val="0"/>
        <w:ind w:firstLine="708"/>
        <w:jc w:val="both"/>
        <w:rPr>
          <w:lang w:val="uk-UA"/>
        </w:rPr>
      </w:pPr>
      <w:r w:rsidRPr="00CD4CEB">
        <w:rPr>
          <w:lang w:val="uk-UA"/>
        </w:rPr>
        <w:t xml:space="preserve">У великої рогатої худоби </w:t>
      </w:r>
      <w:r>
        <w:rPr>
          <w:lang w:val="uk-UA"/>
        </w:rPr>
        <w:t>в</w:t>
      </w:r>
      <w:r w:rsidRPr="00CD4CEB">
        <w:rPr>
          <w:lang w:val="uk-UA"/>
        </w:rPr>
        <w:t xml:space="preserve"> місці введення можливі легкі запальні реакції</w:t>
      </w:r>
      <w:r w:rsidRPr="0007269E">
        <w:rPr>
          <w:lang w:val="uk-UA"/>
        </w:rPr>
        <w:t xml:space="preserve">, </w:t>
      </w:r>
      <w:r>
        <w:rPr>
          <w:lang w:val="uk-UA"/>
        </w:rPr>
        <w:t>а саме,</w:t>
      </w:r>
      <w:r w:rsidRPr="00CD4CEB">
        <w:rPr>
          <w:lang w:val="uk-UA"/>
        </w:rPr>
        <w:t xml:space="preserve"> набряк тканин та зміна кольору підшкірної клітковини чи фасціальної поверхні м'язів. У більшості тварин клінічне одужання настає протягом 10 </w:t>
      </w:r>
      <w:r>
        <w:rPr>
          <w:lang w:val="uk-UA"/>
        </w:rPr>
        <w:t>діб</w:t>
      </w:r>
      <w:r w:rsidRPr="00CD4CEB">
        <w:rPr>
          <w:lang w:val="uk-UA"/>
        </w:rPr>
        <w:t xml:space="preserve"> після ін'єкції, хоча незначні зміни забарвлення тканин можуть зберігатися до 28 </w:t>
      </w:r>
      <w:r>
        <w:rPr>
          <w:lang w:val="uk-UA"/>
        </w:rPr>
        <w:t>діб</w:t>
      </w:r>
      <w:r w:rsidRPr="00CD4CEB">
        <w:rPr>
          <w:lang w:val="uk-UA"/>
        </w:rPr>
        <w:t xml:space="preserve"> і довше.</w:t>
      </w:r>
    </w:p>
    <w:p w:rsidR="00307257" w:rsidRPr="00661A99" w:rsidRDefault="00307257" w:rsidP="00307257">
      <w:pPr>
        <w:ind w:firstLine="709"/>
        <w:jc w:val="both"/>
      </w:pPr>
      <w:r>
        <w:t>Зворотн</w:t>
      </w:r>
      <w:r>
        <w:rPr>
          <w:lang w:val="uk-UA"/>
        </w:rPr>
        <w:t>у</w:t>
      </w:r>
      <w:r>
        <w:t xml:space="preserve"> тромбоцитопені</w:t>
      </w:r>
      <w:r>
        <w:rPr>
          <w:lang w:val="uk-UA"/>
        </w:rPr>
        <w:t xml:space="preserve">ю </w:t>
      </w:r>
      <w:r w:rsidRPr="00661A99">
        <w:t>та анем</w:t>
      </w:r>
      <w:r>
        <w:t>і</w:t>
      </w:r>
      <w:r>
        <w:rPr>
          <w:lang w:val="uk-UA"/>
        </w:rPr>
        <w:t>ю</w:t>
      </w:r>
      <w:r>
        <w:t xml:space="preserve"> іноді спостерігали</w:t>
      </w:r>
      <w:r w:rsidRPr="00661A99">
        <w:t xml:space="preserve"> </w:t>
      </w:r>
      <w:r w:rsidRPr="00661A99">
        <w:rPr>
          <w:lang w:val="uk-UA"/>
        </w:rPr>
        <w:t>в</w:t>
      </w:r>
      <w:r w:rsidRPr="00661A99">
        <w:t xml:space="preserve"> собак, які отримували цефтіофур протягом тривалого часу. Таким чином, використання цього препарату протипоказане тваринам із наявними ознаками цих станів. </w:t>
      </w:r>
    </w:p>
    <w:p w:rsidR="00307257" w:rsidRPr="00661A99" w:rsidRDefault="00307257" w:rsidP="00307257">
      <w:pPr>
        <w:widowControl w:val="0"/>
        <w:ind w:firstLine="709"/>
        <w:jc w:val="both"/>
        <w:rPr>
          <w:b/>
          <w:snapToGrid w:val="0"/>
        </w:rPr>
      </w:pPr>
      <w:r w:rsidRPr="00661A99">
        <w:rPr>
          <w:b/>
          <w:snapToGrid w:val="0"/>
        </w:rPr>
        <w:t>5.5 Особливі застереження при використанні</w:t>
      </w:r>
      <w:r w:rsidRPr="00661A99">
        <w:rPr>
          <w:b/>
          <w:snapToGrid w:val="0"/>
        </w:rPr>
        <w:tab/>
      </w:r>
    </w:p>
    <w:p w:rsidR="00307257" w:rsidRPr="00C74CAA" w:rsidRDefault="00307257" w:rsidP="00307257">
      <w:pPr>
        <w:ind w:firstLine="567"/>
        <w:jc w:val="both"/>
        <w:rPr>
          <w:iCs/>
          <w:lang w:val="uk-UA"/>
        </w:rPr>
      </w:pPr>
      <w:r>
        <w:rPr>
          <w:lang w:val="uk-UA"/>
        </w:rPr>
        <w:t>П</w:t>
      </w:r>
      <w:r w:rsidRPr="00C74CAA">
        <w:rPr>
          <w:lang w:val="uk-UA"/>
        </w:rPr>
        <w:t xml:space="preserve">репарат </w:t>
      </w:r>
      <w:r>
        <w:rPr>
          <w:lang w:val="uk-UA"/>
        </w:rPr>
        <w:t>рекомендовано</w:t>
      </w:r>
      <w:r w:rsidRPr="00C74CAA">
        <w:rPr>
          <w:lang w:val="uk-UA"/>
        </w:rPr>
        <w:t xml:space="preserve"> використовувати лише після проведення дослідження на чутливість мікроорганізмів</w:t>
      </w:r>
      <w:r>
        <w:rPr>
          <w:lang w:val="uk-UA"/>
        </w:rPr>
        <w:t>-збудників</w:t>
      </w:r>
      <w:r w:rsidRPr="00C74CAA">
        <w:rPr>
          <w:lang w:val="uk-UA"/>
        </w:rPr>
        <w:t xml:space="preserve"> до цефтіофуру.</w:t>
      </w:r>
    </w:p>
    <w:p w:rsidR="00307257" w:rsidRPr="00C74CAA" w:rsidRDefault="00307257" w:rsidP="00307257">
      <w:pPr>
        <w:ind w:firstLine="567"/>
        <w:jc w:val="both"/>
        <w:rPr>
          <w:lang w:val="uk-UA"/>
        </w:rPr>
      </w:pPr>
      <w:r w:rsidRPr="00991887">
        <w:rPr>
          <w:iCs/>
          <w:lang w:val="uk-UA"/>
        </w:rPr>
        <w:t>Цефтіофур сприяє розвитку резисте</w:t>
      </w:r>
      <w:r>
        <w:rPr>
          <w:iCs/>
          <w:lang w:val="uk-UA"/>
        </w:rPr>
        <w:t>нтних штамів мікроорганізмів, зокрема</w:t>
      </w:r>
      <w:r w:rsidRPr="00AC0FAE">
        <w:rPr>
          <w:iCs/>
          <w:lang w:val="uk-UA"/>
        </w:rPr>
        <w:t>,</w:t>
      </w:r>
      <w:r>
        <w:rPr>
          <w:iCs/>
          <w:lang w:val="uk-UA"/>
        </w:rPr>
        <w:t xml:space="preserve"> бактерій, </w:t>
      </w:r>
      <w:r w:rsidRPr="00C74CAA">
        <w:rPr>
          <w:iCs/>
          <w:lang w:val="uk-UA"/>
        </w:rPr>
        <w:t>продукуючих бета-лактамази</w:t>
      </w:r>
      <w:r w:rsidRPr="0096334C">
        <w:rPr>
          <w:iCs/>
          <w:color w:val="FF0000"/>
          <w:lang w:val="uk-UA"/>
        </w:rPr>
        <w:t xml:space="preserve"> </w:t>
      </w:r>
      <w:r w:rsidRPr="00991887">
        <w:rPr>
          <w:iCs/>
          <w:lang w:val="uk-UA"/>
        </w:rPr>
        <w:t>розширеного спектра дії</w:t>
      </w:r>
      <w:r w:rsidRPr="00C74CAA">
        <w:rPr>
          <w:iCs/>
          <w:lang w:val="uk-UA"/>
        </w:rPr>
        <w:t>, що може</w:t>
      </w:r>
      <w:r w:rsidRPr="00991887">
        <w:rPr>
          <w:iCs/>
          <w:lang w:val="uk-UA"/>
        </w:rPr>
        <w:t xml:space="preserve"> становити ризик для здоров'я </w:t>
      </w:r>
      <w:r>
        <w:rPr>
          <w:iCs/>
          <w:lang w:val="uk-UA"/>
        </w:rPr>
        <w:t>людей</w:t>
      </w:r>
      <w:r w:rsidRPr="00991887">
        <w:rPr>
          <w:iCs/>
          <w:lang w:val="uk-UA"/>
        </w:rPr>
        <w:t xml:space="preserve"> через можливе поширення таких штамів. </w:t>
      </w:r>
      <w:r>
        <w:rPr>
          <w:iCs/>
          <w:lang w:val="uk-UA"/>
        </w:rPr>
        <w:t>П</w:t>
      </w:r>
      <w:r w:rsidRPr="00991887">
        <w:rPr>
          <w:iCs/>
          <w:lang w:val="uk-UA"/>
        </w:rPr>
        <w:t>репарат слід застосовувати лише для лікування клінічних станів, які погано піддаються терапі</w:t>
      </w:r>
      <w:r>
        <w:rPr>
          <w:iCs/>
          <w:lang w:val="uk-UA"/>
        </w:rPr>
        <w:t>ї</w:t>
      </w:r>
      <w:r w:rsidRPr="00991887">
        <w:rPr>
          <w:iCs/>
          <w:lang w:val="uk-UA"/>
        </w:rPr>
        <w:t xml:space="preserve"> першої лінії </w:t>
      </w:r>
      <w:r>
        <w:rPr>
          <w:iCs/>
          <w:lang w:val="uk-UA"/>
        </w:rPr>
        <w:t xml:space="preserve">антибіотиків </w:t>
      </w:r>
      <w:r w:rsidRPr="00991887">
        <w:rPr>
          <w:iCs/>
          <w:lang w:val="uk-UA"/>
        </w:rPr>
        <w:t xml:space="preserve">(йдеться про надгострі випадки, коли лікування розпочинається без бактеріологічної діагностики). </w:t>
      </w:r>
      <w:r w:rsidRPr="00C74CAA">
        <w:rPr>
          <w:lang w:val="uk-UA"/>
        </w:rPr>
        <w:t xml:space="preserve">Необхідно враховувати рекомендації щодо раціонального застосування протимікробних препаратів при використанні препарату. Нераціональне застосування препарату, включаючи його використання з відхиленнями від рекомендацій, зазначених у КХП, може сприяти </w:t>
      </w:r>
      <w:r>
        <w:rPr>
          <w:lang w:val="uk-UA"/>
        </w:rPr>
        <w:t>появі</w:t>
      </w:r>
      <w:r w:rsidRPr="00C74CAA">
        <w:rPr>
          <w:lang w:val="uk-UA"/>
        </w:rPr>
        <w:t xml:space="preserve"> резистентних до цефтіофуру штамів мікроорганізмів. </w:t>
      </w:r>
    </w:p>
    <w:p w:rsidR="00307257" w:rsidRPr="00A410F1" w:rsidRDefault="00307257" w:rsidP="00307257">
      <w:pPr>
        <w:ind w:firstLine="567"/>
        <w:jc w:val="both"/>
        <w:rPr>
          <w:lang w:val="uk-UA"/>
        </w:rPr>
      </w:pPr>
      <w:r w:rsidRPr="00C74CAA">
        <w:rPr>
          <w:lang w:val="uk-UA"/>
        </w:rPr>
        <w:t xml:space="preserve">Препарат призначений </w:t>
      </w:r>
      <w:r w:rsidRPr="00C74CAA">
        <w:t>для індивідуального лікування</w:t>
      </w:r>
      <w:r w:rsidRPr="00C74CAA">
        <w:rPr>
          <w:lang w:val="uk-UA"/>
        </w:rPr>
        <w:t>.</w:t>
      </w:r>
      <w:r w:rsidRPr="00C74CAA">
        <w:rPr>
          <w:iCs/>
          <w:lang w:val="uk-UA"/>
        </w:rPr>
        <w:t xml:space="preserve"> </w:t>
      </w:r>
      <w:r w:rsidRPr="00C74CAA">
        <w:rPr>
          <w:lang w:val="uk-UA"/>
        </w:rPr>
        <w:t>Не використовуйте препа</w:t>
      </w:r>
      <w:r>
        <w:rPr>
          <w:lang w:val="uk-UA"/>
        </w:rPr>
        <w:t>рат для профілактики хвороб чи в</w:t>
      </w:r>
      <w:r w:rsidRPr="00C74CAA">
        <w:rPr>
          <w:lang w:val="uk-UA"/>
        </w:rPr>
        <w:t xml:space="preserve"> програмі оздоровлення всього стада. Лікування груп тварин повинно суворо обмежуватися поточними спалахами хвороби, відповідно до затверджених умов використання.</w:t>
      </w:r>
    </w:p>
    <w:p w:rsidR="00307257" w:rsidRPr="00F16D94" w:rsidRDefault="00307257" w:rsidP="00307257">
      <w:pPr>
        <w:ind w:firstLine="709"/>
        <w:jc w:val="both"/>
        <w:rPr>
          <w:bCs/>
        </w:rPr>
      </w:pPr>
      <w:r w:rsidRPr="00A410F1">
        <w:rPr>
          <w:lang w:val="uk-UA"/>
        </w:rPr>
        <w:t>Не застосовувати як профілактичний засіб при затримці посліду.</w:t>
      </w:r>
    </w:p>
    <w:p w:rsidR="00307257" w:rsidRPr="004D041F" w:rsidRDefault="00307257" w:rsidP="00307257">
      <w:pPr>
        <w:ind w:firstLine="709"/>
        <w:jc w:val="both"/>
        <w:rPr>
          <w:b/>
        </w:rPr>
      </w:pPr>
      <w:r w:rsidRPr="004D041F">
        <w:rPr>
          <w:b/>
        </w:rPr>
        <w:t>5.6 Застосування під час вагітності, лактації, несучості</w:t>
      </w:r>
    </w:p>
    <w:p w:rsidR="00307257" w:rsidRPr="00F16D94" w:rsidRDefault="00307257" w:rsidP="00307257">
      <w:pPr>
        <w:ind w:firstLine="709"/>
        <w:jc w:val="both"/>
        <w:rPr>
          <w:bCs/>
        </w:rPr>
      </w:pPr>
      <w:r w:rsidRPr="00463A01">
        <w:rPr>
          <w:lang w:val="uk-UA"/>
        </w:rPr>
        <w:t>Дослідження на лабораторних тваринах не виявили жодних доказів тератогенної,</w:t>
      </w:r>
      <w:r w:rsidRPr="00C74CAA">
        <w:rPr>
          <w:lang w:val="uk-UA"/>
        </w:rPr>
        <w:t xml:space="preserve"> фетотоксичної або токсичної дії на організм матері. Безпечність препарату </w:t>
      </w:r>
      <w:r w:rsidRPr="00AC0FAE">
        <w:rPr>
          <w:lang w:val="uk-UA"/>
        </w:rPr>
        <w:t>в ц</w:t>
      </w:r>
      <w:r w:rsidRPr="00C74CAA">
        <w:rPr>
          <w:lang w:val="uk-UA"/>
        </w:rPr>
        <w:t>ільових видів тварин під час вагітності та лактації не встановлена. У таких випадках препарат слід використовувати винятково після оцінки користі/ризику відповідальним лікарем ветеринарної медицини.</w:t>
      </w:r>
    </w:p>
    <w:p w:rsidR="00307257" w:rsidRDefault="00307257" w:rsidP="00307257">
      <w:pPr>
        <w:jc w:val="right"/>
        <w:rPr>
          <w:lang w:val="uk-UA"/>
        </w:rPr>
      </w:pPr>
    </w:p>
    <w:p w:rsidR="00307257" w:rsidRPr="009B2E32" w:rsidRDefault="00307257" w:rsidP="00307257">
      <w:pPr>
        <w:jc w:val="right"/>
        <w:rPr>
          <w:lang w:val="uk-UA"/>
        </w:rPr>
      </w:pPr>
      <w:r>
        <w:rPr>
          <w:lang w:val="uk-UA"/>
        </w:rPr>
        <w:lastRenderedPageBreak/>
        <w:t>Продовження д</w:t>
      </w:r>
      <w:r w:rsidRPr="009B2E32">
        <w:rPr>
          <w:lang w:val="uk-UA"/>
        </w:rPr>
        <w:t>одатк</w:t>
      </w:r>
      <w:r>
        <w:rPr>
          <w:lang w:val="uk-UA"/>
        </w:rPr>
        <w:t>у</w:t>
      </w:r>
      <w:r w:rsidRPr="009B2E32">
        <w:rPr>
          <w:lang w:val="uk-UA"/>
        </w:rPr>
        <w:t xml:space="preserve"> 1</w:t>
      </w:r>
    </w:p>
    <w:p w:rsidR="00307257" w:rsidRPr="009B2E32" w:rsidRDefault="00307257" w:rsidP="00307257">
      <w:pPr>
        <w:jc w:val="right"/>
        <w:rPr>
          <w:lang w:val="uk-UA"/>
        </w:rPr>
      </w:pPr>
      <w:r w:rsidRPr="009B2E32">
        <w:rPr>
          <w:lang w:val="uk-UA"/>
        </w:rPr>
        <w:t>до реєстраційного посвідчення</w:t>
      </w:r>
    </w:p>
    <w:p w:rsidR="00307257" w:rsidRDefault="00307257" w:rsidP="00307257">
      <w:pPr>
        <w:jc w:val="center"/>
        <w:rPr>
          <w:b/>
          <w:lang w:val="uk-UA"/>
        </w:rPr>
      </w:pPr>
    </w:p>
    <w:p w:rsidR="00307257" w:rsidRDefault="00307257" w:rsidP="00307257">
      <w:pPr>
        <w:jc w:val="center"/>
        <w:rPr>
          <w:b/>
          <w:lang w:val="uk-UA"/>
        </w:rPr>
      </w:pPr>
    </w:p>
    <w:p w:rsidR="00307257" w:rsidRPr="00307257" w:rsidRDefault="00307257" w:rsidP="00307257">
      <w:pPr>
        <w:ind w:firstLine="709"/>
        <w:jc w:val="both"/>
        <w:rPr>
          <w:b/>
          <w:lang w:val="uk-UA"/>
        </w:rPr>
      </w:pPr>
      <w:r w:rsidRPr="00307257">
        <w:rPr>
          <w:b/>
          <w:lang w:val="uk-UA"/>
        </w:rPr>
        <w:t>5.7  Взаємодія з іншими засобами та інші форми взаємодії</w:t>
      </w:r>
    </w:p>
    <w:p w:rsidR="00307257" w:rsidRPr="004D041F" w:rsidRDefault="00307257" w:rsidP="00307257">
      <w:pPr>
        <w:autoSpaceDE w:val="0"/>
        <w:autoSpaceDN w:val="0"/>
        <w:adjustRightInd w:val="0"/>
        <w:ind w:firstLine="709"/>
        <w:jc w:val="both"/>
      </w:pPr>
      <w:r w:rsidRPr="004D041F">
        <w:t>Спостерігається синергічний ефект при застосуванні з аміноглікозидами.</w:t>
      </w:r>
    </w:p>
    <w:p w:rsidR="00307257" w:rsidRPr="004D041F" w:rsidRDefault="00307257" w:rsidP="00307257">
      <w:pPr>
        <w:ind w:firstLine="709"/>
        <w:jc w:val="both"/>
        <w:rPr>
          <w:bCs/>
        </w:rPr>
      </w:pPr>
      <w:r w:rsidRPr="00C74CAA">
        <w:rPr>
          <w:lang w:val="uk-UA"/>
        </w:rPr>
        <w:t>Не застосовувати одночасно з бактеріостатичними антибіотиками (макролідами, сульфаніламідами та тетрациклінами).</w:t>
      </w:r>
    </w:p>
    <w:p w:rsidR="00307257" w:rsidRPr="004D041F" w:rsidRDefault="00307257" w:rsidP="00307257">
      <w:pPr>
        <w:ind w:firstLine="709"/>
        <w:jc w:val="both"/>
        <w:rPr>
          <w:b/>
        </w:rPr>
      </w:pPr>
      <w:r w:rsidRPr="004D041F">
        <w:rPr>
          <w:b/>
        </w:rPr>
        <w:t>5.8  Дози і способи введення тваринам різного віку</w:t>
      </w:r>
    </w:p>
    <w:p w:rsidR="00307257" w:rsidRPr="00661A99" w:rsidRDefault="00307257" w:rsidP="00307257">
      <w:pPr>
        <w:ind w:firstLine="709"/>
        <w:jc w:val="both"/>
      </w:pPr>
      <w:r>
        <w:rPr>
          <w:iCs/>
          <w:lang w:val="uk-UA"/>
        </w:rPr>
        <w:t xml:space="preserve">Велика рогата худоба: підшкірно при лікування захворювання органів дихання </w:t>
      </w:r>
      <w:r w:rsidR="00A00418">
        <w:rPr>
          <w:iCs/>
          <w:lang w:val="uk-UA"/>
        </w:rPr>
        <w:t>в</w:t>
      </w:r>
      <w:r>
        <w:rPr>
          <w:iCs/>
          <w:lang w:val="uk-UA"/>
        </w:rPr>
        <w:t xml:space="preserve"> дозі 1 мл препарату на 50 кг маси тіла 1 раз на добу протягом 3-5 діб (1 мг цефтіофуру на 1 кг маси тіла);  при лікування гострого некробактеріозу доза становить 1 мл препарату на 50 кг маси тіла 1 раз на добу протягом 3 діб (1 мг цефтіофуру на 1 кг маси тіла 1 раз на добу); при лікуванні гострого післяродового метриту доза становить 1 мл препарату на 50 кг маси тіла 1 раз на добу протягом 5 діб (1 мг цефтіофуру на 1 кг маси тіла 1 раз на добу).</w:t>
      </w:r>
    </w:p>
    <w:p w:rsidR="00307257" w:rsidRPr="00661A99" w:rsidRDefault="00307257" w:rsidP="00307257">
      <w:pPr>
        <w:ind w:firstLine="709"/>
        <w:jc w:val="both"/>
      </w:pPr>
      <w:r>
        <w:rPr>
          <w:iCs/>
          <w:lang w:val="uk-UA"/>
        </w:rPr>
        <w:t xml:space="preserve">Свині: внутрішньом’язово </w:t>
      </w:r>
      <w:r w:rsidR="00A00418">
        <w:rPr>
          <w:iCs/>
          <w:lang w:val="uk-UA"/>
        </w:rPr>
        <w:t>в</w:t>
      </w:r>
      <w:r>
        <w:rPr>
          <w:iCs/>
          <w:lang w:val="uk-UA"/>
        </w:rPr>
        <w:t xml:space="preserve"> дозі 1 мл препарату на 16 кг маси тіла (3 мг цефтіофуру на 1 кг маси тіла) 1 раз на добу протягом 3 діб.</w:t>
      </w:r>
    </w:p>
    <w:p w:rsidR="00307257" w:rsidRPr="00661A99" w:rsidRDefault="00307257" w:rsidP="00307257">
      <w:pPr>
        <w:ind w:firstLine="709"/>
        <w:jc w:val="both"/>
      </w:pPr>
      <w:r w:rsidRPr="00661A99">
        <w:rPr>
          <w:shd w:val="clear" w:color="auto" w:fill="FFFFFF"/>
        </w:rPr>
        <w:t xml:space="preserve">Собаки: внутрішньом’язово або підшкірно </w:t>
      </w:r>
      <w:r>
        <w:rPr>
          <w:shd w:val="clear" w:color="auto" w:fill="FFFFFF"/>
          <w:lang w:val="uk-UA"/>
        </w:rPr>
        <w:t>в</w:t>
      </w:r>
      <w:r w:rsidRPr="00661A99">
        <w:rPr>
          <w:shd w:val="clear" w:color="auto" w:fill="FFFFFF"/>
        </w:rPr>
        <w:t xml:space="preserve"> дозі 1,0 мл препарату на 10-20 кг маси тіла (еквівалентно 2,5-5 мг цефтіофуру на 1 кг маси тіла) 1 раз на добу впродовж 5-10 діб.</w:t>
      </w:r>
    </w:p>
    <w:p w:rsidR="00307257" w:rsidRPr="00661A99" w:rsidRDefault="00307257" w:rsidP="00307257">
      <w:pPr>
        <w:ind w:firstLine="709"/>
        <w:jc w:val="both"/>
      </w:pPr>
      <w:r w:rsidRPr="00661A99">
        <w:t>У випадку гострого післяродового метриту може знадобитися додаткова підтримуюча терапія.</w:t>
      </w:r>
    </w:p>
    <w:p w:rsidR="00307257" w:rsidRPr="00661A99" w:rsidRDefault="00307257" w:rsidP="00307257">
      <w:pPr>
        <w:ind w:firstLine="709"/>
        <w:jc w:val="both"/>
      </w:pPr>
      <w:r w:rsidRPr="00661A99">
        <w:t>Перед застосуванням флакон з препаратом необхідно ретельно  струсити.</w:t>
      </w:r>
    </w:p>
    <w:p w:rsidR="00307257" w:rsidRPr="00E36EA9" w:rsidRDefault="00307257" w:rsidP="00307257">
      <w:pPr>
        <w:ind w:firstLine="709"/>
        <w:jc w:val="both"/>
      </w:pPr>
      <w:r w:rsidRPr="00E36EA9">
        <w:t>Максимальний об'єм препарату для введення в одне місце для великої рогатої худоби не повинен перевищувати 10 мл, для свиней – 5 мл, для собак</w:t>
      </w:r>
      <w:r w:rsidR="00A00418">
        <w:rPr>
          <w:lang w:val="uk-UA"/>
        </w:rPr>
        <w:t xml:space="preserve"> </w:t>
      </w:r>
      <w:r w:rsidR="00A00418" w:rsidRPr="0096120C">
        <w:t>–</w:t>
      </w:r>
      <w:r w:rsidRPr="00E36EA9">
        <w:t xml:space="preserve"> 2,5 мл.</w:t>
      </w:r>
    </w:p>
    <w:p w:rsidR="00307257" w:rsidRPr="004D041F" w:rsidRDefault="00307257" w:rsidP="00307257">
      <w:pPr>
        <w:ind w:firstLine="709"/>
        <w:jc w:val="both"/>
        <w:rPr>
          <w:b/>
        </w:rPr>
      </w:pPr>
      <w:r w:rsidRPr="00E36EA9">
        <w:rPr>
          <w:b/>
        </w:rPr>
        <w:t>5.9  Передозування (симптоми, невідкладні заходи, антидоти)</w:t>
      </w:r>
    </w:p>
    <w:p w:rsidR="00307257" w:rsidRPr="00991887" w:rsidRDefault="00307257" w:rsidP="00307257">
      <w:pPr>
        <w:ind w:firstLine="567"/>
        <w:jc w:val="both"/>
        <w:rPr>
          <w:iCs/>
          <w:lang w:val="uk-UA"/>
        </w:rPr>
      </w:pPr>
      <w:r w:rsidRPr="00991887">
        <w:rPr>
          <w:iCs/>
          <w:lang w:val="uk-UA"/>
        </w:rPr>
        <w:t xml:space="preserve">Низьку токсичність </w:t>
      </w:r>
      <w:r w:rsidRPr="00C74CAA">
        <w:rPr>
          <w:iCs/>
          <w:lang w:val="uk-UA"/>
        </w:rPr>
        <w:t xml:space="preserve">цефтіофуру для </w:t>
      </w:r>
      <w:r w:rsidRPr="00AC0FAE">
        <w:rPr>
          <w:iCs/>
          <w:color w:val="FF0000"/>
          <w:lang w:val="uk-UA"/>
        </w:rPr>
        <w:t xml:space="preserve">свиней </w:t>
      </w:r>
      <w:r w:rsidRPr="00C74CAA">
        <w:rPr>
          <w:iCs/>
          <w:lang w:val="uk-UA"/>
        </w:rPr>
        <w:t>встановили при</w:t>
      </w:r>
      <w:r w:rsidRPr="00991887">
        <w:rPr>
          <w:iCs/>
          <w:lang w:val="uk-UA"/>
        </w:rPr>
        <w:t xml:space="preserve"> застосуванні цефтіофуру у великих дозах, що у 8 разів перевищують рекомендовану щодобову дозу цефтіофуру при внутрішньом’язовому введенні протягом 15 діб.</w:t>
      </w:r>
    </w:p>
    <w:p w:rsidR="00307257" w:rsidRPr="00991887" w:rsidRDefault="00307257" w:rsidP="00A00418">
      <w:pPr>
        <w:ind w:firstLine="567"/>
        <w:jc w:val="both"/>
        <w:rPr>
          <w:iCs/>
          <w:lang w:val="uk-UA"/>
        </w:rPr>
      </w:pPr>
      <w:r w:rsidRPr="00991887">
        <w:rPr>
          <w:iCs/>
          <w:lang w:val="uk-UA"/>
        </w:rPr>
        <w:t>У великої рогатої худоби після значного парентерального передозування симптомів системної токсичності виявлено не було.</w:t>
      </w:r>
    </w:p>
    <w:p w:rsidR="00307257" w:rsidRPr="004D041F" w:rsidRDefault="00307257" w:rsidP="00307257">
      <w:pPr>
        <w:ind w:firstLine="709"/>
        <w:jc w:val="both"/>
        <w:rPr>
          <w:b/>
        </w:rPr>
      </w:pPr>
      <w:r>
        <w:rPr>
          <w:b/>
        </w:rPr>
        <w:t>5.10  Спеціальні застереження для кожногоокремого виду</w:t>
      </w:r>
      <w:r w:rsidRPr="004D041F">
        <w:rPr>
          <w:b/>
        </w:rPr>
        <w:t xml:space="preserve"> тварин          </w:t>
      </w:r>
    </w:p>
    <w:p w:rsidR="00CE4A99" w:rsidRPr="00854286" w:rsidRDefault="00307257" w:rsidP="00307257">
      <w:pPr>
        <w:ind w:firstLine="567"/>
        <w:jc w:val="both"/>
        <w:rPr>
          <w:lang w:val="uk-UA"/>
        </w:rPr>
      </w:pPr>
      <w:r w:rsidRPr="004D041F">
        <w:t xml:space="preserve">Рівень токсичності препарату </w:t>
      </w:r>
      <w:r>
        <w:rPr>
          <w:lang w:val="uk-UA"/>
        </w:rPr>
        <w:t>дуже</w:t>
      </w:r>
      <w:r w:rsidRPr="004D041F">
        <w:t xml:space="preserve"> низький, тому зазвичай препарат добре переноситься при парентеральному застосуванні.</w:t>
      </w:r>
    </w:p>
    <w:p w:rsidR="00CE4A99" w:rsidRPr="00217B24" w:rsidRDefault="00CE4A99" w:rsidP="00217B24">
      <w:pPr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 xml:space="preserve">5.11. Період  виведення </w:t>
      </w:r>
    </w:p>
    <w:p w:rsidR="00CE4A99" w:rsidRPr="00217B24" w:rsidRDefault="00CE4A99" w:rsidP="00217B24">
      <w:pPr>
        <w:ind w:firstLine="709"/>
        <w:jc w:val="both"/>
        <w:rPr>
          <w:bCs/>
          <w:lang w:val="uk-UA"/>
        </w:rPr>
      </w:pPr>
      <w:r w:rsidRPr="00217B24">
        <w:rPr>
          <w:bCs/>
          <w:lang w:val="uk-UA"/>
        </w:rPr>
        <w:t xml:space="preserve">Забій тварин на м'ясо дозволяють через 8 діб (велика рогата худоба) та 5 діб (свині) після останнього застосування препарату. </w:t>
      </w:r>
      <w:r w:rsidRPr="00217B24">
        <w:rPr>
          <w:iCs/>
          <w:lang w:val="uk-UA"/>
        </w:rPr>
        <w:t xml:space="preserve">Споживання молока людьми дозволяють без обмежень. </w:t>
      </w:r>
      <w:r w:rsidRPr="00217B24">
        <w:rPr>
          <w:bCs/>
          <w:lang w:val="uk-UA"/>
        </w:rPr>
        <w:t xml:space="preserve"> Отримане, до зазначеного терміну, м'ясо утилізують або згодовують непродуктивним тваринам, залежно від висновку лікаря ветеринарної медицини.</w:t>
      </w:r>
    </w:p>
    <w:p w:rsidR="00CE4A99" w:rsidRPr="00217B24" w:rsidRDefault="00CE4A99" w:rsidP="00217B24">
      <w:pPr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>5.12  Спеціальні  застереження для осіб і обслуговуючого персоналу</w:t>
      </w:r>
    </w:p>
    <w:p w:rsidR="00CE4A99" w:rsidRPr="00217B24" w:rsidRDefault="00CE4A99" w:rsidP="00217B24">
      <w:pPr>
        <w:widowControl w:val="0"/>
        <w:ind w:firstLine="708"/>
        <w:jc w:val="both"/>
        <w:rPr>
          <w:snapToGrid w:val="0"/>
          <w:lang w:val="uk-UA"/>
        </w:rPr>
      </w:pPr>
      <w:r w:rsidRPr="00217B24">
        <w:rPr>
          <w:snapToGrid w:val="0"/>
          <w:lang w:val="uk-UA"/>
        </w:rPr>
        <w:t xml:space="preserve">Пеніциліни та цефалоспорини можуть викликати гіперчутливість у випадку ін´єкції, вдихання, заковтування або контакту зі шкірою. Гіперчутливість до пеніцилінів може викликати перехресну реакцію до інших цефалоспоринів та навпаки. Алергічні реакції можуть бути </w:t>
      </w:r>
      <w:r w:rsidR="00E7328C">
        <w:rPr>
          <w:snapToGrid w:val="0"/>
          <w:lang w:val="uk-UA"/>
        </w:rPr>
        <w:t>важ</w:t>
      </w:r>
      <w:r w:rsidRPr="00217B24">
        <w:rPr>
          <w:snapToGrid w:val="0"/>
          <w:lang w:val="uk-UA"/>
        </w:rPr>
        <w:t>кими.</w:t>
      </w:r>
    </w:p>
    <w:p w:rsidR="00CE4A99" w:rsidRPr="00217B24" w:rsidRDefault="00CE4A99" w:rsidP="00217B24">
      <w:pPr>
        <w:ind w:firstLine="708"/>
        <w:jc w:val="both"/>
        <w:rPr>
          <w:bCs/>
          <w:lang w:val="uk-UA"/>
        </w:rPr>
      </w:pPr>
      <w:r w:rsidRPr="00217B24">
        <w:rPr>
          <w:bCs/>
          <w:lang w:val="uk-UA"/>
        </w:rPr>
        <w:t xml:space="preserve">Не рекомендується працювати з препаратом особам з підвищеною чутливістю до бета-лактамних антибіотиків. </w:t>
      </w:r>
    </w:p>
    <w:p w:rsidR="00CE4A99" w:rsidRPr="00217B24" w:rsidRDefault="00CE4A99" w:rsidP="00217B24">
      <w:pPr>
        <w:widowControl w:val="0"/>
        <w:ind w:firstLine="708"/>
        <w:jc w:val="both"/>
        <w:rPr>
          <w:snapToGrid w:val="0"/>
          <w:lang w:val="uk-UA"/>
        </w:rPr>
      </w:pPr>
      <w:r w:rsidRPr="00217B24">
        <w:rPr>
          <w:bCs/>
          <w:lang w:val="uk-UA"/>
        </w:rPr>
        <w:t xml:space="preserve">Слід уникати випадкового введення препарату людині. У </w:t>
      </w:r>
      <w:r w:rsidR="00E7328C">
        <w:rPr>
          <w:bCs/>
          <w:lang w:val="uk-UA"/>
        </w:rPr>
        <w:t>разі випадкової ін´єкції людині</w:t>
      </w:r>
      <w:r w:rsidRPr="00217B24">
        <w:rPr>
          <w:bCs/>
          <w:lang w:val="uk-UA"/>
        </w:rPr>
        <w:t xml:space="preserve"> потрібно негайно звернутися до лікаря, показавши листівку-вкладку або етикетку препарату</w:t>
      </w:r>
    </w:p>
    <w:p w:rsidR="00CE4A99" w:rsidRPr="00217B24" w:rsidRDefault="00CE4A99" w:rsidP="00CE4A99">
      <w:pPr>
        <w:tabs>
          <w:tab w:val="left" w:pos="0"/>
          <w:tab w:val="left" w:pos="330"/>
          <w:tab w:val="left" w:pos="405"/>
        </w:tabs>
        <w:ind w:firstLine="720"/>
        <w:rPr>
          <w:b/>
          <w:lang w:val="uk-UA"/>
        </w:rPr>
      </w:pPr>
      <w:r w:rsidRPr="00217B24">
        <w:rPr>
          <w:b/>
          <w:lang w:val="uk-UA"/>
        </w:rPr>
        <w:t>6.0  Фармацевтичні  особливості</w:t>
      </w:r>
    </w:p>
    <w:p w:rsidR="00CE4A99" w:rsidRPr="00217B24" w:rsidRDefault="00CE4A99" w:rsidP="00CE4A99">
      <w:pPr>
        <w:tabs>
          <w:tab w:val="left" w:pos="0"/>
          <w:tab w:val="left" w:pos="405"/>
        </w:tabs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>6.1   Форми несумісності</w:t>
      </w:r>
    </w:p>
    <w:p w:rsidR="00CE4A99" w:rsidRPr="00217B24" w:rsidRDefault="00217B24" w:rsidP="00CE4A99">
      <w:pPr>
        <w:ind w:firstLine="709"/>
        <w:jc w:val="both"/>
        <w:rPr>
          <w:bCs/>
          <w:lang w:val="uk-UA"/>
        </w:rPr>
      </w:pPr>
      <w:r w:rsidRPr="00217B24">
        <w:rPr>
          <w:bCs/>
          <w:lang w:val="uk-UA"/>
        </w:rPr>
        <w:t>Невідомі</w:t>
      </w:r>
      <w:r w:rsidR="00E7328C">
        <w:rPr>
          <w:bCs/>
          <w:lang w:val="uk-UA"/>
        </w:rPr>
        <w:t>.</w:t>
      </w:r>
    </w:p>
    <w:p w:rsidR="00CE4A99" w:rsidRPr="00217B24" w:rsidRDefault="00CE4A99" w:rsidP="00CE4A99">
      <w:pPr>
        <w:ind w:firstLine="709"/>
        <w:jc w:val="both"/>
        <w:rPr>
          <w:lang w:val="uk-UA"/>
        </w:rPr>
      </w:pPr>
      <w:r w:rsidRPr="00217B24">
        <w:rPr>
          <w:b/>
          <w:lang w:val="uk-UA"/>
        </w:rPr>
        <w:t>6.2  Термін  придатності</w:t>
      </w:r>
      <w:r w:rsidRPr="00217B24">
        <w:rPr>
          <w:lang w:val="uk-UA"/>
        </w:rPr>
        <w:t xml:space="preserve"> </w:t>
      </w:r>
      <w:r w:rsidRPr="00217B24">
        <w:rPr>
          <w:lang w:val="uk-UA"/>
        </w:rPr>
        <w:tab/>
      </w:r>
      <w:r w:rsidRPr="00217B24">
        <w:rPr>
          <w:lang w:val="uk-UA"/>
        </w:rPr>
        <w:tab/>
      </w:r>
    </w:p>
    <w:p w:rsidR="00CE4A99" w:rsidRPr="00217B24" w:rsidRDefault="00CE4A99" w:rsidP="00CE4A99">
      <w:pPr>
        <w:widowControl w:val="0"/>
        <w:ind w:firstLine="709"/>
        <w:jc w:val="both"/>
        <w:rPr>
          <w:snapToGrid w:val="0"/>
          <w:lang w:val="uk-UA"/>
        </w:rPr>
      </w:pPr>
      <w:bookmarkStart w:id="1" w:name="_GoBack"/>
      <w:bookmarkEnd w:id="1"/>
      <w:r w:rsidRPr="00EE4CBE">
        <w:rPr>
          <w:snapToGrid w:val="0"/>
          <w:lang w:val="uk-UA"/>
        </w:rPr>
        <w:t>2 роки</w:t>
      </w:r>
      <w:r w:rsidRPr="00217B24">
        <w:rPr>
          <w:snapToGrid w:val="0"/>
          <w:lang w:val="uk-UA"/>
        </w:rPr>
        <w:t xml:space="preserve"> </w:t>
      </w:r>
    </w:p>
    <w:p w:rsidR="00A00418" w:rsidRDefault="00CE4A99" w:rsidP="00CE4A99">
      <w:pPr>
        <w:pStyle w:val="4"/>
        <w:ind w:firstLine="709"/>
        <w:jc w:val="both"/>
        <w:rPr>
          <w:sz w:val="24"/>
          <w:szCs w:val="24"/>
          <w:lang w:val="uk-UA"/>
        </w:rPr>
      </w:pPr>
      <w:r w:rsidRPr="00217B24">
        <w:rPr>
          <w:sz w:val="24"/>
          <w:szCs w:val="24"/>
          <w:lang w:val="uk-UA"/>
        </w:rPr>
        <w:t xml:space="preserve">Після першого відбору з флакону препарат  необхідно використати протягом 14 діб, за </w:t>
      </w:r>
    </w:p>
    <w:p w:rsidR="00A00418" w:rsidRPr="00217B24" w:rsidRDefault="00A00418" w:rsidP="00A00418">
      <w:pPr>
        <w:jc w:val="right"/>
        <w:rPr>
          <w:lang w:val="uk-UA"/>
        </w:rPr>
      </w:pPr>
      <w:r w:rsidRPr="00217B24">
        <w:rPr>
          <w:lang w:val="uk-UA"/>
        </w:rPr>
        <w:t>Продовження додатку 1</w:t>
      </w:r>
    </w:p>
    <w:p w:rsidR="00A00418" w:rsidRPr="00217B24" w:rsidRDefault="00A00418" w:rsidP="00A00418">
      <w:pPr>
        <w:jc w:val="right"/>
        <w:rPr>
          <w:lang w:val="uk-UA"/>
        </w:rPr>
      </w:pPr>
      <w:r w:rsidRPr="00217B24">
        <w:rPr>
          <w:lang w:val="uk-UA"/>
        </w:rPr>
        <w:t>до реєстраційного посвідчення</w:t>
      </w:r>
    </w:p>
    <w:p w:rsidR="00A00418" w:rsidRPr="00217B24" w:rsidRDefault="00A00418" w:rsidP="00A00418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A00418" w:rsidRPr="00217B24" w:rsidRDefault="00A00418" w:rsidP="00A00418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CE4A99" w:rsidRPr="00217B24" w:rsidRDefault="00CE4A99" w:rsidP="00CE4A99">
      <w:pPr>
        <w:pStyle w:val="4"/>
        <w:ind w:firstLine="709"/>
        <w:jc w:val="both"/>
        <w:rPr>
          <w:sz w:val="24"/>
          <w:szCs w:val="24"/>
          <w:lang w:val="uk-UA"/>
        </w:rPr>
      </w:pPr>
      <w:r w:rsidRPr="00217B24">
        <w:rPr>
          <w:sz w:val="24"/>
          <w:szCs w:val="24"/>
          <w:lang w:val="uk-UA"/>
        </w:rPr>
        <w:t xml:space="preserve">умови зберігання в темному місці </w:t>
      </w:r>
      <w:r w:rsidR="00217B24" w:rsidRPr="00217B24">
        <w:rPr>
          <w:sz w:val="24"/>
          <w:szCs w:val="24"/>
          <w:lang w:val="uk-UA"/>
        </w:rPr>
        <w:t xml:space="preserve">за температури </w:t>
      </w:r>
      <w:r w:rsidRPr="00217B24">
        <w:rPr>
          <w:sz w:val="24"/>
          <w:szCs w:val="24"/>
          <w:lang w:val="uk-UA"/>
        </w:rPr>
        <w:t>від 0 до 8 °С.</w:t>
      </w:r>
    </w:p>
    <w:p w:rsidR="00CE4A99" w:rsidRPr="00217B24" w:rsidRDefault="00CE4A99" w:rsidP="00CE4A99">
      <w:pPr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>6.3   Особливі  заходи  зберігання</w:t>
      </w:r>
    </w:p>
    <w:p w:rsidR="00CE4A99" w:rsidRPr="00217B24" w:rsidRDefault="00CE4A99" w:rsidP="00CE4A99">
      <w:pPr>
        <w:ind w:firstLine="709"/>
        <w:jc w:val="both"/>
        <w:rPr>
          <w:lang w:val="uk-UA"/>
        </w:rPr>
      </w:pPr>
      <w:r w:rsidRPr="00217B24">
        <w:rPr>
          <w:lang w:val="uk-UA"/>
        </w:rPr>
        <w:t>Сухе темне, недоступне для діте</w:t>
      </w:r>
      <w:r w:rsidR="00217B24" w:rsidRPr="00217B24">
        <w:rPr>
          <w:lang w:val="uk-UA"/>
        </w:rPr>
        <w:t xml:space="preserve">й місце </w:t>
      </w:r>
      <w:r w:rsidR="00D435C7">
        <w:rPr>
          <w:lang w:val="uk-UA"/>
        </w:rPr>
        <w:t>за</w:t>
      </w:r>
      <w:r w:rsidR="00217B24" w:rsidRPr="00217B24">
        <w:rPr>
          <w:lang w:val="uk-UA"/>
        </w:rPr>
        <w:t xml:space="preserve"> температур</w:t>
      </w:r>
      <w:r w:rsidR="00D435C7">
        <w:rPr>
          <w:lang w:val="uk-UA"/>
        </w:rPr>
        <w:t>и</w:t>
      </w:r>
      <w:r w:rsidR="00217B24" w:rsidRPr="00217B24">
        <w:rPr>
          <w:lang w:val="uk-UA"/>
        </w:rPr>
        <w:t xml:space="preserve"> від 10</w:t>
      </w:r>
      <w:r w:rsidRPr="00217B24">
        <w:rPr>
          <w:lang w:val="uk-UA"/>
        </w:rPr>
        <w:t xml:space="preserve"> до 25</w:t>
      </w:r>
      <w:r w:rsidR="00362553">
        <w:rPr>
          <w:lang w:val="uk-UA"/>
        </w:rPr>
        <w:t xml:space="preserve"> </w:t>
      </w:r>
      <w:r w:rsidRPr="00217B24">
        <w:rPr>
          <w:lang w:val="uk-UA"/>
        </w:rPr>
        <w:t>°С.</w:t>
      </w:r>
    </w:p>
    <w:p w:rsidR="00CE4A99" w:rsidRPr="00217B24" w:rsidRDefault="00CE4A99" w:rsidP="00CE4A99">
      <w:pPr>
        <w:tabs>
          <w:tab w:val="left" w:pos="315"/>
        </w:tabs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>6.4   Природа  і склад  контейнера первинного пакування</w:t>
      </w:r>
    </w:p>
    <w:p w:rsidR="00CE4A99" w:rsidRPr="00217B24" w:rsidRDefault="00CE4A99" w:rsidP="00CE4A99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217B24">
        <w:rPr>
          <w:lang w:val="uk-UA"/>
        </w:rPr>
        <w:t xml:space="preserve">Флакони із нейтрального скла (марки НС-1, НС-2, УСП-1), закриті гумовими корками під алюмінієву обкатку по  10, 20, 50, 100 та 200 мл. Вторинна упаковка </w:t>
      </w:r>
      <w:r w:rsidR="00FF5C0E" w:rsidRPr="00E36EA9">
        <w:t>–</w:t>
      </w:r>
      <w:r w:rsidRPr="00217B24">
        <w:rPr>
          <w:lang w:val="uk-UA"/>
        </w:rPr>
        <w:t xml:space="preserve"> картонна коробка.</w:t>
      </w:r>
    </w:p>
    <w:p w:rsidR="00CE4A99" w:rsidRPr="00217B24" w:rsidRDefault="00CE4A99" w:rsidP="00CE4A99">
      <w:pPr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>6.5  Особливі заходи безпеки при поводженні з невикористаним препаратами або із його залишками.</w:t>
      </w:r>
    </w:p>
    <w:p w:rsidR="00CE4A99" w:rsidRPr="00217B24" w:rsidRDefault="00CE4A99" w:rsidP="00CE4A99">
      <w:pPr>
        <w:ind w:firstLine="709"/>
        <w:jc w:val="both"/>
        <w:rPr>
          <w:b/>
          <w:lang w:val="uk-UA"/>
        </w:rPr>
      </w:pPr>
      <w:r w:rsidRPr="00217B24">
        <w:rPr>
          <w:lang w:val="uk-UA"/>
        </w:rPr>
        <w:t>Порожню упаковку та залишки невикористаного препарату потрібно утилізувати згідно</w:t>
      </w:r>
      <w:r w:rsidR="00217B24" w:rsidRPr="00217B24">
        <w:rPr>
          <w:lang w:val="uk-UA"/>
        </w:rPr>
        <w:t xml:space="preserve"> з чинним законодавством</w:t>
      </w:r>
      <w:r w:rsidRPr="00217B24">
        <w:rPr>
          <w:lang w:val="uk-UA"/>
        </w:rPr>
        <w:t>.</w:t>
      </w:r>
    </w:p>
    <w:p w:rsidR="00CE4A99" w:rsidRPr="00217B24" w:rsidRDefault="00CE4A99" w:rsidP="00CE4A99">
      <w:pPr>
        <w:ind w:firstLine="567"/>
        <w:jc w:val="both"/>
        <w:rPr>
          <w:b/>
          <w:lang w:val="uk-UA"/>
        </w:rPr>
      </w:pPr>
      <w:r w:rsidRPr="00217B24">
        <w:rPr>
          <w:b/>
          <w:lang w:val="uk-UA"/>
        </w:rPr>
        <w:t>7. Назва та місцезнаходження власника реєстраційного посвідчення</w:t>
      </w:r>
    </w:p>
    <w:p w:rsidR="00CE4A99" w:rsidRPr="00217B24" w:rsidRDefault="00CE4A99" w:rsidP="00CE4A99">
      <w:pPr>
        <w:ind w:firstLine="567"/>
        <w:jc w:val="both"/>
        <w:rPr>
          <w:color w:val="000000"/>
          <w:lang w:val="uk-UA"/>
        </w:rPr>
      </w:pPr>
      <w:r w:rsidRPr="00217B24">
        <w:rPr>
          <w:color w:val="000000"/>
          <w:lang w:val="uk-UA"/>
        </w:rPr>
        <w:t>Товариство з обмежено</w:t>
      </w:r>
      <w:r w:rsidR="00E7328C">
        <w:rPr>
          <w:color w:val="000000"/>
          <w:lang w:val="uk-UA"/>
        </w:rPr>
        <w:t>ю відповідальністю “Ветсинтез”,</w:t>
      </w:r>
    </w:p>
    <w:p w:rsidR="00CE4A99" w:rsidRPr="00217B24" w:rsidRDefault="00CE4A99" w:rsidP="00CE4A99">
      <w:pPr>
        <w:pStyle w:val="a5"/>
        <w:spacing w:after="0"/>
        <w:ind w:left="0" w:firstLine="567"/>
        <w:jc w:val="both"/>
        <w:rPr>
          <w:color w:val="000000"/>
          <w:lang w:val="uk-UA"/>
        </w:rPr>
      </w:pPr>
      <w:r w:rsidRPr="00217B24">
        <w:rPr>
          <w:color w:val="000000"/>
          <w:lang w:val="uk-UA"/>
        </w:rPr>
        <w:t>61001, м. Харків, вул. Бобанича Тараса, 30</w:t>
      </w:r>
      <w:r w:rsidR="00E7328C">
        <w:rPr>
          <w:color w:val="000000"/>
          <w:lang w:val="uk-UA"/>
        </w:rPr>
        <w:t>, Україна</w:t>
      </w:r>
    </w:p>
    <w:p w:rsidR="00CE4A99" w:rsidRPr="00217B24" w:rsidRDefault="00CE4A99" w:rsidP="00CE4A99">
      <w:pPr>
        <w:ind w:firstLine="567"/>
        <w:jc w:val="both"/>
        <w:rPr>
          <w:b/>
          <w:lang w:val="uk-UA"/>
        </w:rPr>
      </w:pPr>
      <w:r w:rsidRPr="00217B24">
        <w:rPr>
          <w:b/>
          <w:lang w:val="uk-UA"/>
        </w:rPr>
        <w:t>8. Назва та місцезнаходження виробника (виробників)</w:t>
      </w:r>
    </w:p>
    <w:p w:rsidR="00CE4A99" w:rsidRPr="00217B24" w:rsidRDefault="00CE4A99" w:rsidP="00CE4A99">
      <w:pPr>
        <w:ind w:firstLine="567"/>
        <w:jc w:val="both"/>
        <w:rPr>
          <w:color w:val="000000"/>
          <w:lang w:val="uk-UA"/>
        </w:rPr>
      </w:pPr>
      <w:r w:rsidRPr="00217B24">
        <w:rPr>
          <w:color w:val="000000"/>
          <w:lang w:val="uk-UA"/>
        </w:rPr>
        <w:t>Товариство з обмеженою відпові</w:t>
      </w:r>
      <w:r w:rsidR="00E7328C">
        <w:rPr>
          <w:color w:val="000000"/>
          <w:lang w:val="uk-UA"/>
        </w:rPr>
        <w:t>дальністю “Ветсинтез”,</w:t>
      </w:r>
    </w:p>
    <w:p w:rsidR="00CE4A99" w:rsidRPr="00217B24" w:rsidRDefault="00CE4A99" w:rsidP="00CE4A99">
      <w:pPr>
        <w:pStyle w:val="a5"/>
        <w:spacing w:after="0"/>
        <w:ind w:left="0" w:firstLine="567"/>
        <w:jc w:val="both"/>
        <w:rPr>
          <w:color w:val="000000"/>
          <w:lang w:val="uk-UA"/>
        </w:rPr>
      </w:pPr>
      <w:r w:rsidRPr="00217B24">
        <w:rPr>
          <w:color w:val="000000"/>
          <w:lang w:val="uk-UA"/>
        </w:rPr>
        <w:t>61001, м. Харків, вул. Бобанича Тараса, 30</w:t>
      </w:r>
      <w:r w:rsidR="00E7328C">
        <w:rPr>
          <w:color w:val="000000"/>
          <w:lang w:val="uk-UA"/>
        </w:rPr>
        <w:t>, Україна</w:t>
      </w:r>
    </w:p>
    <w:p w:rsidR="00CE4A99" w:rsidRPr="00854286" w:rsidRDefault="00CE4A99" w:rsidP="00CE4A99">
      <w:pPr>
        <w:ind w:firstLine="567"/>
        <w:jc w:val="both"/>
        <w:rPr>
          <w:b/>
          <w:lang w:val="uk-UA"/>
        </w:rPr>
      </w:pPr>
      <w:r w:rsidRPr="00217B24">
        <w:rPr>
          <w:b/>
          <w:lang w:val="uk-UA"/>
        </w:rPr>
        <w:t>9. Додаткова інформація</w:t>
      </w:r>
    </w:p>
    <w:p w:rsidR="00CE4A99" w:rsidRPr="00854286" w:rsidRDefault="00CE4A99" w:rsidP="00CE4A99">
      <w:pPr>
        <w:rPr>
          <w:lang w:val="uk-UA"/>
        </w:rPr>
      </w:pPr>
    </w:p>
    <w:p w:rsidR="00DB10F8" w:rsidRPr="00854286" w:rsidRDefault="00DB10F8">
      <w:pPr>
        <w:rPr>
          <w:lang w:val="uk-UA"/>
        </w:rPr>
      </w:pPr>
    </w:p>
    <w:sectPr w:rsidR="00DB10F8" w:rsidRPr="00854286" w:rsidSect="00854286">
      <w:footerReference w:type="default" r:id="rId7"/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9B" w:rsidRDefault="0097279B" w:rsidP="00E7328C">
      <w:r>
        <w:separator/>
      </w:r>
    </w:p>
  </w:endnote>
  <w:endnote w:type="continuationSeparator" w:id="0">
    <w:p w:rsidR="0097279B" w:rsidRDefault="0097279B" w:rsidP="00E7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565217"/>
      <w:docPartObj>
        <w:docPartGallery w:val="Page Numbers (Bottom of Page)"/>
        <w:docPartUnique/>
      </w:docPartObj>
    </w:sdtPr>
    <w:sdtEndPr/>
    <w:sdtContent>
      <w:p w:rsidR="00E7328C" w:rsidRDefault="00E732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CBE">
          <w:rPr>
            <w:noProof/>
          </w:rPr>
          <w:t>3</w:t>
        </w:r>
        <w:r>
          <w:fldChar w:fldCharType="end"/>
        </w:r>
      </w:p>
    </w:sdtContent>
  </w:sdt>
  <w:p w:rsidR="00E7328C" w:rsidRDefault="00E732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9B" w:rsidRDefault="0097279B" w:rsidP="00E7328C">
      <w:r>
        <w:separator/>
      </w:r>
    </w:p>
  </w:footnote>
  <w:footnote w:type="continuationSeparator" w:id="0">
    <w:p w:rsidR="0097279B" w:rsidRDefault="0097279B" w:rsidP="00E7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DC"/>
    <w:rsid w:val="000459D7"/>
    <w:rsid w:val="00135439"/>
    <w:rsid w:val="00171125"/>
    <w:rsid w:val="00217B24"/>
    <w:rsid w:val="002446DC"/>
    <w:rsid w:val="00293AE0"/>
    <w:rsid w:val="00307257"/>
    <w:rsid w:val="0031619E"/>
    <w:rsid w:val="00362553"/>
    <w:rsid w:val="00426035"/>
    <w:rsid w:val="006F1323"/>
    <w:rsid w:val="00784E63"/>
    <w:rsid w:val="007E1F21"/>
    <w:rsid w:val="00844F78"/>
    <w:rsid w:val="00854286"/>
    <w:rsid w:val="008A6904"/>
    <w:rsid w:val="00901AF4"/>
    <w:rsid w:val="0097279B"/>
    <w:rsid w:val="009D2C95"/>
    <w:rsid w:val="00A00418"/>
    <w:rsid w:val="00A15FE7"/>
    <w:rsid w:val="00CE4A99"/>
    <w:rsid w:val="00D01109"/>
    <w:rsid w:val="00D435C7"/>
    <w:rsid w:val="00DB10F8"/>
    <w:rsid w:val="00E01D8A"/>
    <w:rsid w:val="00E7328C"/>
    <w:rsid w:val="00EE4CBE"/>
    <w:rsid w:val="00EE4EC4"/>
    <w:rsid w:val="00F13A0D"/>
    <w:rsid w:val="00FB221A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7145B-60E5-4B15-8DCE-525FD086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8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AF4"/>
    <w:pPr>
      <w:keepNext/>
      <w:keepLines/>
      <w:spacing w:before="480" w:after="48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1AF4"/>
    <w:pPr>
      <w:keepNext/>
      <w:keepLines/>
      <w:spacing w:before="480" w:after="480" w:line="360" w:lineRule="auto"/>
      <w:ind w:firstLine="709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rsid w:val="00FB221A"/>
    <w:pPr>
      <w:keepNext/>
      <w:keepLines/>
      <w:spacing w:before="480" w:after="480" w:line="360" w:lineRule="auto"/>
      <w:ind w:firstLine="709"/>
      <w:jc w:val="both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F4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a3">
    <w:name w:val="Курсачи"/>
    <w:basedOn w:val="a"/>
    <w:link w:val="a4"/>
    <w:qFormat/>
    <w:rsid w:val="008A6904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a4">
    <w:name w:val="Курсачи Знак"/>
    <w:basedOn w:val="a0"/>
    <w:link w:val="a3"/>
    <w:rsid w:val="008A6904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901AF4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rsid w:val="00FB221A"/>
    <w:rPr>
      <w:rFonts w:eastAsia="Times New Roman"/>
      <w:b/>
      <w:sz w:val="28"/>
      <w:szCs w:val="28"/>
      <w:lang w:val="uk-UA" w:eastAsia="ru-RU"/>
    </w:rPr>
  </w:style>
  <w:style w:type="paragraph" w:styleId="a5">
    <w:name w:val="Body Text Indent"/>
    <w:aliases w:val=" Знак,Знак"/>
    <w:basedOn w:val="a"/>
    <w:link w:val="a6"/>
    <w:rsid w:val="00E01D8A"/>
    <w:pPr>
      <w:spacing w:after="120"/>
      <w:ind w:left="283"/>
    </w:pPr>
  </w:style>
  <w:style w:type="character" w:customStyle="1" w:styleId="a6">
    <w:name w:val="Основний текст з відступом Знак"/>
    <w:aliases w:val=" Знак Знак,Знак Знак"/>
    <w:basedOn w:val="a0"/>
    <w:link w:val="a5"/>
    <w:rsid w:val="00E01D8A"/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E01D8A"/>
    <w:pPr>
      <w:spacing w:after="0" w:line="240" w:lineRule="auto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customStyle="1" w:styleId="4">
    <w:name w:val="Обычный4"/>
    <w:rsid w:val="00E01D8A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5C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435C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7328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7328C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328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7328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BA8C-1E48-4994-A432-041A5685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7000</Words>
  <Characters>3990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20</cp:revision>
  <cp:lastPrinted>2025-04-09T09:45:00Z</cp:lastPrinted>
  <dcterms:created xsi:type="dcterms:W3CDTF">2025-02-03T07:28:00Z</dcterms:created>
  <dcterms:modified xsi:type="dcterms:W3CDTF">2025-04-16T13:44:00Z</dcterms:modified>
</cp:coreProperties>
</file>