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A6" w:rsidRPr="00C02DFE" w:rsidRDefault="007B4BA6" w:rsidP="002F2A3F">
      <w:pPr>
        <w:ind w:firstLine="567"/>
        <w:contextualSpacing/>
        <w:jc w:val="right"/>
        <w:rPr>
          <w:lang w:val="uk-UA"/>
        </w:rPr>
      </w:pPr>
      <w:r w:rsidRPr="00C02DFE">
        <w:rPr>
          <w:lang w:val="uk-UA"/>
        </w:rPr>
        <w:t>Додаток 1</w:t>
      </w:r>
    </w:p>
    <w:p w:rsidR="007B4BA6" w:rsidRPr="00C02DFE" w:rsidRDefault="007B4BA6" w:rsidP="002F2A3F">
      <w:pPr>
        <w:ind w:firstLine="567"/>
        <w:contextualSpacing/>
        <w:jc w:val="right"/>
        <w:rPr>
          <w:lang w:val="uk-UA"/>
        </w:rPr>
      </w:pPr>
      <w:r w:rsidRPr="00C02DFE">
        <w:rPr>
          <w:lang w:val="uk-UA"/>
        </w:rPr>
        <w:t xml:space="preserve">до реєстраційного посвідчення </w:t>
      </w:r>
    </w:p>
    <w:p w:rsidR="007B4BA6" w:rsidRPr="00C02DFE" w:rsidRDefault="007B4BA6" w:rsidP="002F2A3F">
      <w:pPr>
        <w:ind w:firstLine="567"/>
        <w:contextualSpacing/>
        <w:jc w:val="both"/>
        <w:rPr>
          <w:b/>
          <w:i/>
          <w:lang w:val="uk-UA"/>
        </w:rPr>
      </w:pPr>
    </w:p>
    <w:p w:rsidR="007B4BA6" w:rsidRPr="00C02DFE" w:rsidRDefault="007B4BA6" w:rsidP="002F2A3F">
      <w:pPr>
        <w:ind w:firstLine="567"/>
        <w:contextualSpacing/>
        <w:jc w:val="both"/>
        <w:rPr>
          <w:b/>
        </w:rPr>
      </w:pPr>
    </w:p>
    <w:p w:rsidR="007B4BA6" w:rsidRPr="00C02DFE" w:rsidRDefault="007B4BA6" w:rsidP="002F2A3F">
      <w:pPr>
        <w:ind w:firstLine="567"/>
        <w:contextualSpacing/>
        <w:jc w:val="center"/>
        <w:rPr>
          <w:b/>
          <w:lang w:val="uk-UA"/>
        </w:rPr>
      </w:pPr>
      <w:r w:rsidRPr="00C02DFE">
        <w:rPr>
          <w:b/>
          <w:lang w:val="uk-UA"/>
        </w:rPr>
        <w:t>Коротка характеристика препарату</w:t>
      </w:r>
    </w:p>
    <w:p w:rsidR="007B4BA6" w:rsidRPr="00C02DFE" w:rsidRDefault="007B4BA6" w:rsidP="002F2A3F">
      <w:pPr>
        <w:ind w:firstLine="567"/>
        <w:contextualSpacing/>
        <w:jc w:val="both"/>
        <w:rPr>
          <w:b/>
          <w:lang w:val="uk-UA"/>
        </w:rPr>
      </w:pPr>
    </w:p>
    <w:p w:rsidR="007B4BA6" w:rsidRPr="00C02DFE" w:rsidRDefault="007B4BA6" w:rsidP="002F2A3F">
      <w:pPr>
        <w:ind w:firstLine="567"/>
        <w:contextualSpacing/>
        <w:jc w:val="both"/>
        <w:rPr>
          <w:lang w:val="uk-UA"/>
        </w:rPr>
      </w:pPr>
      <w:r w:rsidRPr="00C02DFE">
        <w:rPr>
          <w:b/>
          <w:lang w:val="uk-UA"/>
        </w:rPr>
        <w:t>1. Назва</w:t>
      </w:r>
    </w:p>
    <w:p w:rsidR="007B4BA6" w:rsidRPr="00C02DFE" w:rsidRDefault="007B4BA6" w:rsidP="002F2A3F">
      <w:pPr>
        <w:ind w:firstLine="567"/>
        <w:contextualSpacing/>
        <w:jc w:val="both"/>
        <w:rPr>
          <w:lang w:val="uk-UA"/>
        </w:rPr>
      </w:pPr>
      <w:r w:rsidRPr="00C02DFE">
        <w:rPr>
          <w:lang w:val="uk-UA"/>
        </w:rPr>
        <w:t>Флювінекс</w:t>
      </w:r>
    </w:p>
    <w:p w:rsidR="007B4BA6" w:rsidRPr="00C02DFE" w:rsidRDefault="007B4BA6" w:rsidP="002F2A3F">
      <w:pPr>
        <w:ind w:firstLine="567"/>
        <w:contextualSpacing/>
        <w:jc w:val="both"/>
        <w:rPr>
          <w:b/>
          <w:bCs/>
          <w:lang w:val="uk-UA"/>
        </w:rPr>
      </w:pPr>
      <w:r w:rsidRPr="00C02DFE">
        <w:rPr>
          <w:b/>
          <w:bCs/>
          <w:lang w:val="uk-UA"/>
        </w:rPr>
        <w:t>2. Склад</w:t>
      </w:r>
    </w:p>
    <w:p w:rsidR="007B4BA6" w:rsidRPr="00C02DFE" w:rsidRDefault="007B4BA6" w:rsidP="002F2A3F">
      <w:pPr>
        <w:ind w:firstLine="567"/>
        <w:contextualSpacing/>
        <w:jc w:val="both"/>
        <w:rPr>
          <w:lang w:val="uk-UA"/>
        </w:rPr>
      </w:pPr>
      <w:r w:rsidRPr="00C02DFE">
        <w:rPr>
          <w:lang w:val="uk-UA"/>
        </w:rPr>
        <w:t xml:space="preserve">Одна смужка містить діючу речовину: тау-флювалінат - 80 мг. </w:t>
      </w:r>
    </w:p>
    <w:p w:rsidR="007B4BA6" w:rsidRPr="00C02DFE" w:rsidRDefault="007B4BA6" w:rsidP="002F2A3F">
      <w:pPr>
        <w:ind w:firstLine="567"/>
        <w:contextualSpacing/>
        <w:jc w:val="both"/>
        <w:rPr>
          <w:lang w:val="uk-UA"/>
        </w:rPr>
      </w:pPr>
      <w:r w:rsidRPr="00C02DFE">
        <w:rPr>
          <w:lang w:val="uk-UA"/>
        </w:rPr>
        <w:t>Допоміжні речовини: етанол, полі етиленгліколь.</w:t>
      </w:r>
    </w:p>
    <w:p w:rsidR="007B4BA6" w:rsidRPr="00C02DFE" w:rsidRDefault="007B4BA6" w:rsidP="002F2A3F">
      <w:pPr>
        <w:ind w:firstLine="567"/>
        <w:contextualSpacing/>
        <w:jc w:val="both"/>
        <w:rPr>
          <w:b/>
          <w:lang w:val="uk-UA"/>
        </w:rPr>
      </w:pPr>
      <w:r w:rsidRPr="00C02DFE">
        <w:rPr>
          <w:b/>
          <w:lang w:val="uk-UA"/>
        </w:rPr>
        <w:t>3. Фармацевтична форма</w:t>
      </w:r>
    </w:p>
    <w:p w:rsidR="007B4BA6" w:rsidRPr="00C02DFE" w:rsidRDefault="007B4BA6" w:rsidP="002F2A3F">
      <w:pPr>
        <w:ind w:firstLine="567"/>
        <w:contextualSpacing/>
        <w:jc w:val="both"/>
        <w:rPr>
          <w:lang w:val="uk-UA"/>
        </w:rPr>
      </w:pPr>
      <w:r w:rsidRPr="00C02DFE">
        <w:rPr>
          <w:lang w:val="uk-UA"/>
        </w:rPr>
        <w:t>Смужки зі шпону.</w:t>
      </w:r>
    </w:p>
    <w:p w:rsidR="007B4BA6" w:rsidRPr="00C02DFE" w:rsidRDefault="007B4BA6" w:rsidP="002F2A3F">
      <w:pPr>
        <w:ind w:firstLine="567"/>
        <w:contextualSpacing/>
        <w:jc w:val="both"/>
        <w:rPr>
          <w:b/>
          <w:lang w:val="uk-UA"/>
        </w:rPr>
      </w:pPr>
      <w:r w:rsidRPr="00C02DFE">
        <w:rPr>
          <w:b/>
          <w:lang w:val="uk-UA"/>
        </w:rPr>
        <w:t>4. Фармакологічні властивості</w:t>
      </w:r>
    </w:p>
    <w:p w:rsidR="007B4BA6" w:rsidRPr="00C02DFE" w:rsidRDefault="007B4BA6" w:rsidP="002F2A3F">
      <w:pPr>
        <w:ind w:firstLine="567"/>
        <w:contextualSpacing/>
        <w:jc w:val="both"/>
        <w:rPr>
          <w:lang w:val="uk-UA"/>
        </w:rPr>
      </w:pPr>
      <w:r w:rsidRPr="00C02DFE">
        <w:rPr>
          <w:lang w:val="uk-UA"/>
        </w:rPr>
        <w:t>АТСvet QP53AC10, група піретроїди, флювалінати, акарициди.</w:t>
      </w:r>
    </w:p>
    <w:p w:rsidR="007B4BA6" w:rsidRPr="00C02DFE" w:rsidRDefault="007B4BA6" w:rsidP="002F2A3F">
      <w:pPr>
        <w:ind w:firstLine="567"/>
        <w:contextualSpacing/>
        <w:jc w:val="both"/>
        <w:rPr>
          <w:lang w:val="uk-UA"/>
        </w:rPr>
      </w:pPr>
      <w:r w:rsidRPr="00C02DFE">
        <w:rPr>
          <w:lang w:val="uk-UA"/>
        </w:rPr>
        <w:t>Діючою речовиною акарицидного препарату є піретроїд – тау-флювалінат.</w:t>
      </w:r>
    </w:p>
    <w:p w:rsidR="007B4BA6" w:rsidRPr="00C02DFE" w:rsidRDefault="007B4BA6" w:rsidP="002F2A3F">
      <w:pPr>
        <w:ind w:firstLine="567"/>
        <w:contextualSpacing/>
        <w:jc w:val="both"/>
        <w:rPr>
          <w:lang w:val="uk-UA"/>
        </w:rPr>
      </w:pPr>
      <w:r w:rsidRPr="00C02DFE">
        <w:rPr>
          <w:lang w:val="uk-UA"/>
        </w:rPr>
        <w:t xml:space="preserve">Фармакологічна дія препарату – виражений контактний акарицид пролонгованої дії, який згубно впливає на нервову систему кліщів роду </w:t>
      </w:r>
      <w:r w:rsidRPr="00C02DFE">
        <w:rPr>
          <w:i/>
          <w:lang w:val="uk-UA"/>
        </w:rPr>
        <w:t>Varroa</w:t>
      </w:r>
      <w:r w:rsidRPr="00C02DFE">
        <w:rPr>
          <w:lang w:val="uk-UA"/>
        </w:rPr>
        <w:t>. Механізм дії тау-флювалінату полягає в блокуванні передачі нервових імпульсів, що спричиняє порушення координації рухів, параліч і загибель кліщів.</w:t>
      </w:r>
    </w:p>
    <w:p w:rsidR="007B4BA6" w:rsidRPr="00C02DFE" w:rsidRDefault="007B4BA6" w:rsidP="002F2A3F">
      <w:pPr>
        <w:ind w:firstLine="567"/>
        <w:contextualSpacing/>
        <w:jc w:val="both"/>
        <w:rPr>
          <w:lang w:val="uk-UA"/>
        </w:rPr>
      </w:pPr>
      <w:r w:rsidRPr="00C02DFE">
        <w:rPr>
          <w:lang w:val="uk-UA"/>
        </w:rPr>
        <w:t>Ефективність препарату становить 96-99 %. Діюча речовина тау-флювалінат належить до групи малотоксичних речовин (ІІІ клас небезпеки) для теплокровних тварин та бджіл (LD</w:t>
      </w:r>
      <w:r w:rsidRPr="00C02DFE">
        <w:rPr>
          <w:vertAlign w:val="subscript"/>
          <w:lang w:val="uk-UA"/>
        </w:rPr>
        <w:t>50</w:t>
      </w:r>
      <w:r w:rsidRPr="00C02DFE">
        <w:rPr>
          <w:lang w:val="uk-UA"/>
        </w:rPr>
        <w:t xml:space="preserve"> 260-280 мг/кг), не володіє шкірно-резорбтивною, місцево подразнювальною та сенсибілізаційною дією. За рекомендованих умов застосування залишки препарату не накопичуються в меді, перзі та воску і не перевищують допустимі норми.</w:t>
      </w:r>
    </w:p>
    <w:p w:rsidR="007B4BA6" w:rsidRPr="00C02DFE" w:rsidRDefault="007B4BA6" w:rsidP="002F2A3F">
      <w:pPr>
        <w:ind w:firstLine="567"/>
        <w:contextualSpacing/>
        <w:jc w:val="both"/>
        <w:rPr>
          <w:b/>
          <w:bCs/>
          <w:lang w:val="uk-UA"/>
        </w:rPr>
      </w:pPr>
      <w:r w:rsidRPr="00C02DFE">
        <w:rPr>
          <w:b/>
          <w:bCs/>
          <w:lang w:val="uk-UA"/>
        </w:rPr>
        <w:t>5. Клінічні особливості</w:t>
      </w:r>
    </w:p>
    <w:p w:rsidR="007B4BA6" w:rsidRPr="00C02DFE" w:rsidRDefault="007B4BA6" w:rsidP="002F2A3F">
      <w:pPr>
        <w:ind w:firstLine="567"/>
        <w:contextualSpacing/>
        <w:jc w:val="both"/>
        <w:rPr>
          <w:b/>
          <w:bCs/>
          <w:lang w:val="uk-UA"/>
        </w:rPr>
      </w:pPr>
      <w:r w:rsidRPr="00C02DFE">
        <w:rPr>
          <w:b/>
          <w:bCs/>
          <w:lang w:val="uk-UA"/>
        </w:rPr>
        <w:t>5.1. Вид тварин</w:t>
      </w:r>
    </w:p>
    <w:p w:rsidR="007B4BA6" w:rsidRPr="00C02DFE" w:rsidRDefault="007B4BA6" w:rsidP="002F2A3F">
      <w:pPr>
        <w:ind w:firstLine="567"/>
        <w:contextualSpacing/>
        <w:jc w:val="both"/>
        <w:rPr>
          <w:b/>
          <w:bCs/>
          <w:lang w:val="uk-UA"/>
        </w:rPr>
      </w:pPr>
      <w:r w:rsidRPr="00C02DFE">
        <w:rPr>
          <w:lang w:val="uk-UA"/>
        </w:rPr>
        <w:t>Бджоли.</w:t>
      </w:r>
    </w:p>
    <w:p w:rsidR="007B4BA6" w:rsidRPr="00C02DFE" w:rsidRDefault="007B4BA6" w:rsidP="002F2A3F">
      <w:pPr>
        <w:ind w:firstLine="567"/>
        <w:contextualSpacing/>
        <w:jc w:val="both"/>
        <w:rPr>
          <w:b/>
          <w:bCs/>
          <w:lang w:val="uk-UA"/>
        </w:rPr>
      </w:pPr>
      <w:r w:rsidRPr="00C02DFE">
        <w:rPr>
          <w:b/>
          <w:bCs/>
          <w:lang w:val="uk-UA"/>
        </w:rPr>
        <w:t>5.2. Показання до застосування</w:t>
      </w:r>
    </w:p>
    <w:p w:rsidR="007B4BA6" w:rsidRPr="00C02DFE" w:rsidRDefault="007B4BA6" w:rsidP="002F2A3F">
      <w:pPr>
        <w:ind w:firstLine="567"/>
        <w:contextualSpacing/>
        <w:jc w:val="both"/>
        <w:rPr>
          <w:lang w:val="uk-UA"/>
        </w:rPr>
      </w:pPr>
      <w:r w:rsidRPr="00C02DFE">
        <w:rPr>
          <w:lang w:val="uk-UA"/>
        </w:rPr>
        <w:t>Застосовують для лікування, профілактики та діагностики вароозу бджіл.</w:t>
      </w:r>
    </w:p>
    <w:p w:rsidR="007B4BA6" w:rsidRPr="00C02DFE" w:rsidRDefault="007B4BA6" w:rsidP="002F2A3F">
      <w:pPr>
        <w:ind w:firstLine="567"/>
        <w:contextualSpacing/>
        <w:jc w:val="both"/>
        <w:rPr>
          <w:bCs/>
          <w:lang w:val="uk-UA"/>
        </w:rPr>
      </w:pPr>
      <w:r w:rsidRPr="00C02DFE">
        <w:rPr>
          <w:b/>
          <w:bCs/>
          <w:lang w:val="uk-UA"/>
        </w:rPr>
        <w:t>5.3. Протипоказання</w:t>
      </w:r>
    </w:p>
    <w:p w:rsidR="007B4BA6" w:rsidRPr="00C02DFE" w:rsidRDefault="007B4BA6" w:rsidP="002F2A3F">
      <w:pPr>
        <w:ind w:firstLine="567"/>
        <w:contextualSpacing/>
        <w:jc w:val="both"/>
        <w:rPr>
          <w:lang w:val="uk-UA"/>
        </w:rPr>
      </w:pPr>
      <w:r w:rsidRPr="00C02DFE">
        <w:rPr>
          <w:lang w:val="uk-UA"/>
        </w:rPr>
        <w:t xml:space="preserve">За умов належного застосування та дозування побічні явища не реєструються. </w:t>
      </w:r>
      <w:r w:rsidRPr="00C02DFE">
        <w:rPr>
          <w:bCs/>
          <w:lang w:val="uk-UA"/>
        </w:rPr>
        <w:t>Препарат заборонено використовувати у період головного медозбору та за 30 діб до його початку, а також у період зимового спокою</w:t>
      </w:r>
      <w:r w:rsidRPr="00C02DFE">
        <w:rPr>
          <w:lang w:val="uk-UA"/>
        </w:rPr>
        <w:t>.</w:t>
      </w:r>
    </w:p>
    <w:p w:rsidR="007B4BA6" w:rsidRPr="00C02DFE" w:rsidRDefault="007B4BA6" w:rsidP="002F2A3F">
      <w:pPr>
        <w:ind w:firstLine="567"/>
        <w:contextualSpacing/>
        <w:jc w:val="both"/>
        <w:rPr>
          <w:b/>
          <w:lang w:val="uk-UA"/>
        </w:rPr>
      </w:pPr>
      <w:r w:rsidRPr="00C02DFE">
        <w:rPr>
          <w:b/>
          <w:bCs/>
          <w:lang w:val="uk-UA"/>
        </w:rPr>
        <w:t>5.4.</w:t>
      </w:r>
      <w:r w:rsidRPr="00C02DFE">
        <w:rPr>
          <w:bCs/>
          <w:lang w:val="uk-UA"/>
        </w:rPr>
        <w:t xml:space="preserve"> </w:t>
      </w:r>
      <w:r w:rsidRPr="00C02DFE">
        <w:rPr>
          <w:b/>
          <w:lang w:val="uk-UA"/>
        </w:rPr>
        <w:t>Побічні дія</w:t>
      </w:r>
    </w:p>
    <w:p w:rsidR="007B4BA6" w:rsidRPr="00C02DFE" w:rsidRDefault="007B4BA6" w:rsidP="002F2A3F">
      <w:pPr>
        <w:ind w:firstLine="567"/>
        <w:contextualSpacing/>
        <w:jc w:val="both"/>
        <w:rPr>
          <w:b/>
          <w:bCs/>
          <w:lang w:val="uk-UA"/>
        </w:rPr>
      </w:pPr>
      <w:r w:rsidRPr="00C02DFE">
        <w:rPr>
          <w:lang w:val="uk-UA"/>
        </w:rPr>
        <w:t>Не спостерігається.</w:t>
      </w:r>
    </w:p>
    <w:p w:rsidR="007B4BA6" w:rsidRPr="00C02DFE" w:rsidRDefault="007B4BA6" w:rsidP="002F2A3F">
      <w:pPr>
        <w:ind w:firstLine="567"/>
        <w:contextualSpacing/>
        <w:jc w:val="both"/>
        <w:rPr>
          <w:b/>
          <w:bCs/>
          <w:lang w:val="uk-UA"/>
        </w:rPr>
      </w:pPr>
      <w:r w:rsidRPr="00C02DFE">
        <w:rPr>
          <w:b/>
          <w:bCs/>
          <w:lang w:val="uk-UA"/>
        </w:rPr>
        <w:t>5.5. Особливості застереження при використанні</w:t>
      </w:r>
    </w:p>
    <w:p w:rsidR="007B4BA6" w:rsidRPr="00C02DFE" w:rsidRDefault="007B4BA6" w:rsidP="002F2A3F">
      <w:pPr>
        <w:ind w:firstLine="567"/>
        <w:contextualSpacing/>
        <w:jc w:val="both"/>
        <w:rPr>
          <w:bCs/>
          <w:lang w:val="uk-UA"/>
        </w:rPr>
      </w:pPr>
      <w:r w:rsidRPr="00C02DFE">
        <w:rPr>
          <w:bCs/>
          <w:lang w:val="uk-UA"/>
        </w:rPr>
        <w:t xml:space="preserve">Не застосовувати у період медозбору. За 30 діб до початку медозбору смужки необхідно вилучити з вулика. Не застосовувати смужки в період зимового спокою. Обробку проводити за умови, коли температура повітря не нижча + 10 °С. Для ослаблених бджолиних сімей та відводків застосовувати не більше однієї смужки на бджолину сім'ю. </w:t>
      </w:r>
      <w:r w:rsidRPr="00C02DFE">
        <w:rPr>
          <w:lang w:val="uk-UA"/>
        </w:rPr>
        <w:t>Не допускається використання меду в харчових цілях, який був зібраний у період обробки препаратом. Смужки придатні лише для одноразового використання.</w:t>
      </w:r>
    </w:p>
    <w:p w:rsidR="007B4BA6" w:rsidRPr="00C02DFE" w:rsidRDefault="007B4BA6" w:rsidP="002F2A3F">
      <w:pPr>
        <w:ind w:firstLine="567"/>
        <w:contextualSpacing/>
        <w:jc w:val="both"/>
        <w:rPr>
          <w:b/>
          <w:bCs/>
          <w:lang w:val="uk-UA"/>
        </w:rPr>
      </w:pPr>
      <w:r w:rsidRPr="00C02DFE">
        <w:rPr>
          <w:b/>
          <w:bCs/>
          <w:lang w:val="uk-UA"/>
        </w:rPr>
        <w:t>5.6. Застосування під час вагітності, лактації, несучості</w:t>
      </w:r>
    </w:p>
    <w:p w:rsidR="007B4BA6" w:rsidRPr="00C02DFE" w:rsidRDefault="007B4BA6" w:rsidP="002F2A3F">
      <w:pPr>
        <w:ind w:firstLine="567"/>
        <w:contextualSpacing/>
        <w:jc w:val="both"/>
        <w:rPr>
          <w:bCs/>
          <w:lang w:val="uk-UA"/>
        </w:rPr>
      </w:pPr>
      <w:r w:rsidRPr="00C02DFE">
        <w:rPr>
          <w:bCs/>
          <w:lang w:val="uk-UA"/>
        </w:rPr>
        <w:t>Не має відношення.</w:t>
      </w:r>
    </w:p>
    <w:p w:rsidR="007B4BA6" w:rsidRPr="00C02DFE" w:rsidRDefault="007B4BA6" w:rsidP="002F2A3F">
      <w:pPr>
        <w:ind w:firstLine="567"/>
        <w:contextualSpacing/>
        <w:jc w:val="both"/>
        <w:rPr>
          <w:bCs/>
          <w:lang w:val="uk-UA"/>
        </w:rPr>
      </w:pPr>
      <w:r w:rsidRPr="00C02DFE">
        <w:rPr>
          <w:b/>
          <w:bCs/>
          <w:lang w:val="uk-UA"/>
        </w:rPr>
        <w:t>5.7. Взаємодія з іншими засобами та іншими формами взаємодії</w:t>
      </w:r>
    </w:p>
    <w:p w:rsidR="007B4BA6" w:rsidRPr="00C02DFE" w:rsidRDefault="007B4BA6" w:rsidP="002F2A3F">
      <w:pPr>
        <w:ind w:firstLine="567"/>
        <w:contextualSpacing/>
        <w:jc w:val="both"/>
        <w:rPr>
          <w:bCs/>
          <w:lang w:val="uk-UA"/>
        </w:rPr>
      </w:pPr>
      <w:r w:rsidRPr="00C02DFE">
        <w:rPr>
          <w:bCs/>
          <w:lang w:val="uk-UA"/>
        </w:rPr>
        <w:t>Не допускати взаємодії з лужними речовинами. Препарат можна застосовувати одночасно із підгодівлею та кормовими добавками.</w:t>
      </w:r>
    </w:p>
    <w:p w:rsidR="007B4BA6" w:rsidRPr="00C02DFE" w:rsidRDefault="007B4BA6" w:rsidP="002F2A3F">
      <w:pPr>
        <w:ind w:firstLine="567"/>
        <w:contextualSpacing/>
        <w:jc w:val="both"/>
        <w:rPr>
          <w:b/>
          <w:bCs/>
          <w:lang w:val="uk-UA"/>
        </w:rPr>
      </w:pPr>
      <w:r w:rsidRPr="00C02DFE">
        <w:rPr>
          <w:b/>
          <w:bCs/>
          <w:lang w:val="uk-UA"/>
        </w:rPr>
        <w:t>5.8. Дози і способи введення тваринам різного віку</w:t>
      </w:r>
    </w:p>
    <w:p w:rsidR="007B4BA6" w:rsidRPr="00C02DFE" w:rsidRDefault="007B4BA6" w:rsidP="002F2A3F">
      <w:pPr>
        <w:ind w:firstLine="567"/>
        <w:contextualSpacing/>
        <w:jc w:val="both"/>
        <w:rPr>
          <w:bCs/>
          <w:lang w:val="uk-UA"/>
        </w:rPr>
      </w:pPr>
      <w:r w:rsidRPr="00C02DFE">
        <w:rPr>
          <w:bCs/>
          <w:lang w:val="uk-UA"/>
        </w:rPr>
        <w:t xml:space="preserve">Відкривати пакування необхідно безпосередньо перед застосуванням. Препарат розміщують у центральній зоні бджолиного гнізда, де зазвичай концентрується найбільша кількість молодої бджоли. Смужки фіксують вертикально за допомогою поперечної шпильки у міжрамковому просторі таким чином, щоб бджоли могли рухатись з обох сторін смужки. </w:t>
      </w:r>
    </w:p>
    <w:p w:rsidR="007B4BA6" w:rsidRPr="00C02DFE" w:rsidRDefault="007B4BA6" w:rsidP="002F2A3F">
      <w:pPr>
        <w:ind w:firstLine="567"/>
        <w:contextualSpacing/>
        <w:jc w:val="both"/>
        <w:rPr>
          <w:bCs/>
          <w:lang w:val="uk-UA"/>
        </w:rPr>
      </w:pPr>
      <w:r w:rsidRPr="00C02DFE">
        <w:rPr>
          <w:bCs/>
          <w:lang w:val="uk-UA"/>
        </w:rPr>
        <w:t>Весняна обробка проводиться після обльоту, коли в бджолиних сім’ях спостерігається ще незначна кількість личинок та лялечок (зазвичай період обробки – березень-початок квітня);</w:t>
      </w:r>
    </w:p>
    <w:p w:rsidR="007B4BA6" w:rsidRPr="00C02DFE" w:rsidRDefault="007B4BA6" w:rsidP="002F2A3F">
      <w:pPr>
        <w:ind w:firstLine="567"/>
        <w:contextualSpacing/>
        <w:jc w:val="both"/>
        <w:rPr>
          <w:bCs/>
          <w:lang w:val="uk-UA"/>
        </w:rPr>
      </w:pPr>
      <w:r w:rsidRPr="00C02DFE">
        <w:rPr>
          <w:bCs/>
          <w:lang w:val="uk-UA"/>
        </w:rPr>
        <w:t>Літньо-осіння обробка проводиться відразу після викачування товарного меду головного медозбору, коли матка розпочинає інтенсивне відкладання яєць у звільнені стільники, а більшість самок кліща знаходиться на робочих бджолах (зазвичай період обробки – серпень-вересень).</w:t>
      </w:r>
    </w:p>
    <w:p w:rsidR="007B4BA6" w:rsidRPr="00C02DFE" w:rsidRDefault="007B4BA6" w:rsidP="002F2A3F">
      <w:pPr>
        <w:ind w:firstLine="567"/>
        <w:contextualSpacing/>
        <w:jc w:val="both"/>
        <w:rPr>
          <w:bCs/>
          <w:lang w:val="uk-UA"/>
        </w:rPr>
      </w:pPr>
      <w:r w:rsidRPr="00C02DFE">
        <w:rPr>
          <w:b/>
          <w:bCs/>
          <w:lang w:val="uk-UA"/>
        </w:rPr>
        <w:t>Дозування:</w:t>
      </w:r>
    </w:p>
    <w:p w:rsidR="007B4BA6" w:rsidRPr="00C02DFE" w:rsidRDefault="007B4BA6" w:rsidP="002F2A3F">
      <w:pPr>
        <w:ind w:firstLine="567"/>
        <w:contextualSpacing/>
        <w:jc w:val="both"/>
        <w:rPr>
          <w:bCs/>
          <w:lang w:val="uk-UA"/>
        </w:rPr>
      </w:pPr>
      <w:r w:rsidRPr="00C02DFE">
        <w:rPr>
          <w:bCs/>
          <w:lang w:val="uk-UA"/>
        </w:rPr>
        <w:t>Дози препарату залежать від сили бджолиної сім’ї.</w:t>
      </w:r>
    </w:p>
    <w:p w:rsidR="007B4BA6" w:rsidRPr="00C02DFE" w:rsidRDefault="007B4BA6" w:rsidP="002F2A3F">
      <w:pPr>
        <w:ind w:firstLine="567"/>
        <w:contextualSpacing/>
        <w:jc w:val="both"/>
        <w:rPr>
          <w:bCs/>
          <w:lang w:val="uk-UA"/>
        </w:rPr>
      </w:pPr>
      <w:r w:rsidRPr="00C02DFE">
        <w:rPr>
          <w:bCs/>
          <w:lang w:val="uk-UA"/>
        </w:rPr>
        <w:t>Навесні для бджолосімей із нормальним розвитком, які займають 8-12 стандартних рамок, застосовують по 2 смужки препарату. Для ослаблених бджолосімей, які займають 6 рамок і менше, застосовують по 1 смужці препарату.</w:t>
      </w:r>
    </w:p>
    <w:p w:rsidR="007B4BA6" w:rsidRPr="00C02DFE" w:rsidRDefault="007B4BA6" w:rsidP="002F2A3F">
      <w:pPr>
        <w:ind w:firstLine="567"/>
        <w:contextualSpacing/>
        <w:jc w:val="both"/>
        <w:rPr>
          <w:bCs/>
          <w:lang w:val="uk-UA"/>
        </w:rPr>
      </w:pPr>
      <w:r w:rsidRPr="00C02DFE">
        <w:rPr>
          <w:bCs/>
          <w:lang w:val="uk-UA"/>
        </w:rPr>
        <w:t>Влітку для бджолиних сімей, які утримуються у багатокорпусних вуликах застосовують по 2 смужки препарату на кожний корпус (10-12 рамок); для бджолиних сімей, які утримуються у лежаках (20-24 рамки) застосовують 4 смужки на сім’ю. Для відводків, які займають 6 рамок і менше, застосовують по 1 смужці препарату.</w:t>
      </w:r>
    </w:p>
    <w:p w:rsidR="007B4BA6" w:rsidRPr="00C02DFE" w:rsidRDefault="007B4BA6" w:rsidP="002F2A3F">
      <w:pPr>
        <w:ind w:firstLine="567"/>
        <w:contextualSpacing/>
        <w:jc w:val="both"/>
        <w:rPr>
          <w:bCs/>
          <w:lang w:val="uk-UA"/>
        </w:rPr>
      </w:pPr>
      <w:r w:rsidRPr="00C02DFE">
        <w:rPr>
          <w:bCs/>
          <w:lang w:val="uk-UA"/>
        </w:rPr>
        <w:t>Термін перебування смужок у бджолиному гнізді під час лікування повинен становити не менше 15, але не більше 45 діб.</w:t>
      </w:r>
    </w:p>
    <w:p w:rsidR="007B4BA6" w:rsidRPr="00C02DFE" w:rsidRDefault="007B4BA6" w:rsidP="002F2A3F">
      <w:pPr>
        <w:ind w:firstLine="567"/>
        <w:contextualSpacing/>
        <w:jc w:val="both"/>
        <w:rPr>
          <w:bCs/>
          <w:lang w:val="uk-UA"/>
        </w:rPr>
      </w:pPr>
      <w:r w:rsidRPr="00C02DFE">
        <w:rPr>
          <w:bCs/>
          <w:lang w:val="uk-UA"/>
        </w:rPr>
        <w:t>Для проведення діагностики захворювання бджіл на варооз перед обробкою дно вулика покривають чистим аркушем паперу або поліетиленовою плівкою, змащених олією або вазеліном. Термін перебування смужок препарату повинен становити не менше чотирьох діб, після чого проводиться перевірка донних вкладок на наявність загиблих кліщів.</w:t>
      </w:r>
    </w:p>
    <w:p w:rsidR="007B4BA6" w:rsidRPr="00C02DFE" w:rsidRDefault="007B4BA6" w:rsidP="002F2A3F">
      <w:pPr>
        <w:ind w:firstLine="567"/>
        <w:contextualSpacing/>
        <w:jc w:val="both"/>
        <w:rPr>
          <w:b/>
          <w:lang w:val="uk-UA"/>
        </w:rPr>
      </w:pPr>
      <w:r w:rsidRPr="00C02DFE">
        <w:rPr>
          <w:b/>
          <w:lang w:val="uk-UA"/>
        </w:rPr>
        <w:t>5.9. Передозування (симптоми, невідкладні заходи, антидоти)</w:t>
      </w:r>
    </w:p>
    <w:p w:rsidR="007B4BA6" w:rsidRPr="00C02DFE" w:rsidRDefault="007B4BA6" w:rsidP="002F2A3F">
      <w:pPr>
        <w:ind w:firstLine="567"/>
        <w:contextualSpacing/>
        <w:jc w:val="both"/>
        <w:rPr>
          <w:lang w:val="uk-UA"/>
        </w:rPr>
      </w:pPr>
      <w:r w:rsidRPr="00C02DFE">
        <w:rPr>
          <w:lang w:val="uk-UA"/>
        </w:rPr>
        <w:t xml:space="preserve">Незначне передозування препарату не спричиняє ускладнень. </w:t>
      </w:r>
    </w:p>
    <w:p w:rsidR="007B4BA6" w:rsidRPr="00C02DFE" w:rsidRDefault="007B4BA6" w:rsidP="002F2A3F">
      <w:pPr>
        <w:ind w:firstLine="567"/>
        <w:contextualSpacing/>
        <w:jc w:val="both"/>
        <w:rPr>
          <w:lang w:val="uk-UA"/>
        </w:rPr>
      </w:pPr>
      <w:r w:rsidRPr="00C02DFE">
        <w:rPr>
          <w:lang w:val="uk-UA"/>
        </w:rPr>
        <w:t>Специфічні антидоти відсутні.</w:t>
      </w:r>
    </w:p>
    <w:p w:rsidR="007B4BA6" w:rsidRPr="00C02DFE" w:rsidRDefault="007B4BA6" w:rsidP="002F2A3F">
      <w:pPr>
        <w:ind w:firstLine="567"/>
        <w:contextualSpacing/>
        <w:jc w:val="both"/>
        <w:rPr>
          <w:b/>
          <w:i/>
          <w:lang w:val="uk-UA"/>
        </w:rPr>
      </w:pPr>
      <w:r w:rsidRPr="00C02DFE">
        <w:rPr>
          <w:b/>
          <w:lang w:val="uk-UA"/>
        </w:rPr>
        <w:t>5.10. Спеціальні застереження</w:t>
      </w:r>
    </w:p>
    <w:p w:rsidR="007B4BA6" w:rsidRPr="00C02DFE" w:rsidRDefault="007B4BA6" w:rsidP="002F2A3F">
      <w:pPr>
        <w:ind w:firstLine="567"/>
        <w:contextualSpacing/>
        <w:jc w:val="both"/>
        <w:rPr>
          <w:lang w:val="uk-UA"/>
        </w:rPr>
      </w:pPr>
      <w:r w:rsidRPr="00C02DFE">
        <w:rPr>
          <w:lang w:val="uk-UA"/>
        </w:rPr>
        <w:t>Перед застосуванням препарату рекомендована обов’язкова перевірка реакції бджіл на діючи речовини на одному чи декількох бджолосім’ях. Якщо через добу у бджіл не реєструється змін поведінки, проводиться обробка всієї пасіки.</w:t>
      </w:r>
    </w:p>
    <w:p w:rsidR="007B4BA6" w:rsidRPr="00C02DFE" w:rsidRDefault="007B4BA6" w:rsidP="002F2A3F">
      <w:pPr>
        <w:ind w:firstLine="567"/>
        <w:contextualSpacing/>
        <w:jc w:val="both"/>
        <w:rPr>
          <w:lang w:val="uk-UA"/>
        </w:rPr>
      </w:pPr>
      <w:r w:rsidRPr="00C02DFE">
        <w:rPr>
          <w:bCs/>
          <w:lang w:val="uk-UA"/>
        </w:rPr>
        <w:t>Не застосовувати у період головного медозбору та зимового спокою.</w:t>
      </w:r>
      <w:r w:rsidRPr="00C02DFE">
        <w:rPr>
          <w:lang w:val="uk-UA"/>
        </w:rPr>
        <w:t xml:space="preserve"> Для ослаблених бджолиних сімей та відводків застосовувати не більше однієї смужки.</w:t>
      </w:r>
    </w:p>
    <w:p w:rsidR="007B4BA6" w:rsidRPr="00C02DFE" w:rsidRDefault="007B4BA6" w:rsidP="002F2A3F">
      <w:pPr>
        <w:ind w:firstLine="567"/>
        <w:contextualSpacing/>
        <w:jc w:val="both"/>
        <w:rPr>
          <w:b/>
          <w:lang w:val="uk-UA"/>
        </w:rPr>
      </w:pPr>
      <w:r w:rsidRPr="00C02DFE">
        <w:rPr>
          <w:b/>
          <w:lang w:val="uk-UA"/>
        </w:rPr>
        <w:t>5.11. Період виведення (каренції)</w:t>
      </w:r>
    </w:p>
    <w:p w:rsidR="007B4BA6" w:rsidRPr="00C02DFE" w:rsidRDefault="007B4BA6" w:rsidP="002F2A3F">
      <w:pPr>
        <w:ind w:firstLine="567"/>
        <w:contextualSpacing/>
        <w:jc w:val="both"/>
        <w:rPr>
          <w:lang w:val="uk-UA"/>
        </w:rPr>
      </w:pPr>
      <w:r w:rsidRPr="00C02DFE">
        <w:rPr>
          <w:lang w:val="uk-UA"/>
        </w:rPr>
        <w:t>Оброблення бджолиних сімей препаратом припиняють за 30 днів до початку головного медозбору, щоб уникнути потрапляння препарату в товарний мед.</w:t>
      </w:r>
    </w:p>
    <w:p w:rsidR="007B4BA6" w:rsidRPr="00C02DFE" w:rsidRDefault="007B4BA6" w:rsidP="002F2A3F">
      <w:pPr>
        <w:ind w:firstLine="567"/>
        <w:contextualSpacing/>
        <w:jc w:val="both"/>
        <w:rPr>
          <w:lang w:val="uk-UA"/>
        </w:rPr>
      </w:pPr>
      <w:r w:rsidRPr="00C02DFE">
        <w:rPr>
          <w:lang w:val="uk-UA"/>
        </w:rPr>
        <w:t>Не допускається використання меду в харчових цілях, який був зібраний у період обробки препаратом.</w:t>
      </w:r>
    </w:p>
    <w:p w:rsidR="007B4BA6" w:rsidRPr="00C02DFE" w:rsidRDefault="007B4BA6" w:rsidP="002F2A3F">
      <w:pPr>
        <w:ind w:firstLine="567"/>
        <w:contextualSpacing/>
        <w:jc w:val="both"/>
        <w:rPr>
          <w:b/>
          <w:lang w:val="uk-UA"/>
        </w:rPr>
      </w:pPr>
      <w:r w:rsidRPr="00C02DFE">
        <w:rPr>
          <w:b/>
          <w:lang w:val="uk-UA"/>
        </w:rPr>
        <w:t>5.12. Спеціальні застереження для осіб і обслуговуючого персоналу</w:t>
      </w:r>
    </w:p>
    <w:p w:rsidR="007B4BA6" w:rsidRPr="00C02DFE" w:rsidRDefault="007B4BA6" w:rsidP="002F2A3F">
      <w:pPr>
        <w:ind w:firstLine="567"/>
        <w:contextualSpacing/>
        <w:jc w:val="both"/>
        <w:rPr>
          <w:lang w:val="uk-UA"/>
        </w:rPr>
      </w:pPr>
      <w:r w:rsidRPr="00C02DFE">
        <w:rPr>
          <w:lang w:val="uk-UA"/>
        </w:rPr>
        <w:t>Персонал, який працює з препаратом, повинен дотримуватись загальних правил особистої гігієни та безпеки, що прийняті при роботі з ветеринарними препаратами.</w:t>
      </w:r>
    </w:p>
    <w:p w:rsidR="007B4BA6" w:rsidRPr="00C02DFE" w:rsidRDefault="007B4BA6" w:rsidP="002F2A3F">
      <w:pPr>
        <w:ind w:firstLine="567"/>
        <w:contextualSpacing/>
        <w:jc w:val="both"/>
        <w:rPr>
          <w:lang w:val="uk-UA"/>
        </w:rPr>
      </w:pPr>
      <w:r w:rsidRPr="00C02DFE">
        <w:rPr>
          <w:lang w:val="uk-UA"/>
        </w:rPr>
        <w:t>Під час роботи забороняється палити, пити та приймати їжу.</w:t>
      </w:r>
    </w:p>
    <w:p w:rsidR="007B4BA6" w:rsidRPr="00C02DFE" w:rsidRDefault="007B4BA6" w:rsidP="002F2A3F">
      <w:pPr>
        <w:ind w:firstLine="567"/>
        <w:contextualSpacing/>
        <w:jc w:val="both"/>
        <w:rPr>
          <w:lang w:val="uk-UA"/>
        </w:rPr>
      </w:pPr>
      <w:r w:rsidRPr="00C02DFE">
        <w:rPr>
          <w:lang w:val="uk-UA"/>
        </w:rPr>
        <w:t>Після закінчення роботи слід ретельно вимити з милом руки і обличчя.</w:t>
      </w:r>
    </w:p>
    <w:p w:rsidR="007B4BA6" w:rsidRPr="00C02DFE" w:rsidRDefault="007B4BA6" w:rsidP="002F2A3F">
      <w:pPr>
        <w:ind w:firstLine="567"/>
        <w:contextualSpacing/>
        <w:jc w:val="both"/>
        <w:rPr>
          <w:b/>
          <w:lang w:val="uk-UA"/>
        </w:rPr>
      </w:pPr>
      <w:r w:rsidRPr="00C02DFE">
        <w:rPr>
          <w:b/>
          <w:lang w:val="uk-UA"/>
        </w:rPr>
        <w:t>6. Фармацевтичні особливості</w:t>
      </w:r>
    </w:p>
    <w:p w:rsidR="007B4BA6" w:rsidRPr="00C02DFE" w:rsidRDefault="007B4BA6" w:rsidP="002F2A3F">
      <w:pPr>
        <w:ind w:firstLine="567"/>
        <w:contextualSpacing/>
        <w:jc w:val="both"/>
        <w:rPr>
          <w:lang w:val="uk-UA"/>
        </w:rPr>
      </w:pPr>
      <w:r w:rsidRPr="00C02DFE">
        <w:rPr>
          <w:b/>
          <w:lang w:val="uk-UA"/>
        </w:rPr>
        <w:t>6.1. Форма несумісності</w:t>
      </w:r>
    </w:p>
    <w:p w:rsidR="007B4BA6" w:rsidRPr="00C02DFE" w:rsidRDefault="007B4BA6" w:rsidP="002F2A3F">
      <w:pPr>
        <w:ind w:firstLine="567"/>
        <w:contextualSpacing/>
        <w:jc w:val="both"/>
        <w:rPr>
          <w:lang w:val="uk-UA"/>
        </w:rPr>
      </w:pPr>
      <w:r w:rsidRPr="00C02DFE">
        <w:rPr>
          <w:lang w:val="uk-UA"/>
        </w:rPr>
        <w:t>Не сумісний з лужними речовинами.</w:t>
      </w:r>
    </w:p>
    <w:p w:rsidR="007B4BA6" w:rsidRPr="00C02DFE" w:rsidRDefault="007B4BA6" w:rsidP="002F2A3F">
      <w:pPr>
        <w:ind w:firstLine="567"/>
        <w:contextualSpacing/>
        <w:jc w:val="both"/>
        <w:rPr>
          <w:b/>
          <w:lang w:val="uk-UA"/>
        </w:rPr>
      </w:pPr>
      <w:r w:rsidRPr="00C02DFE">
        <w:rPr>
          <w:b/>
          <w:lang w:val="uk-UA"/>
        </w:rPr>
        <w:t>6.2. Термін придатності</w:t>
      </w:r>
    </w:p>
    <w:p w:rsidR="007B4BA6" w:rsidRPr="00C02DFE" w:rsidRDefault="007B4BA6" w:rsidP="002F2A3F">
      <w:pPr>
        <w:ind w:firstLine="567"/>
        <w:contextualSpacing/>
        <w:jc w:val="both"/>
        <w:rPr>
          <w:lang w:val="uk-UA"/>
        </w:rPr>
      </w:pPr>
      <w:r w:rsidRPr="00C02DFE">
        <w:rPr>
          <w:lang w:val="uk-UA" w:eastAsia="zh-CN"/>
        </w:rPr>
        <w:t>36 місяців</w:t>
      </w:r>
      <w:r w:rsidRPr="00C02DFE">
        <w:rPr>
          <w:lang w:val="uk-UA"/>
        </w:rPr>
        <w:t>.</w:t>
      </w:r>
    </w:p>
    <w:p w:rsidR="007B4BA6" w:rsidRPr="00C02DFE" w:rsidRDefault="007B4BA6" w:rsidP="002F2A3F">
      <w:pPr>
        <w:ind w:firstLine="567"/>
        <w:contextualSpacing/>
        <w:jc w:val="both"/>
        <w:rPr>
          <w:b/>
          <w:lang w:val="uk-UA"/>
        </w:rPr>
      </w:pPr>
      <w:r w:rsidRPr="00C02DFE">
        <w:rPr>
          <w:b/>
          <w:lang w:val="uk-UA"/>
        </w:rPr>
        <w:t>6.3. Особливі заходи зберігання</w:t>
      </w:r>
    </w:p>
    <w:p w:rsidR="007B4BA6" w:rsidRPr="00C02DFE" w:rsidRDefault="007B4BA6" w:rsidP="002F2A3F">
      <w:pPr>
        <w:ind w:firstLine="567"/>
        <w:contextualSpacing/>
        <w:jc w:val="both"/>
        <w:rPr>
          <w:bCs/>
          <w:noProof/>
          <w:lang w:val="uk-UA"/>
        </w:rPr>
      </w:pPr>
      <w:r w:rsidRPr="00C02DFE">
        <w:rPr>
          <w:bCs/>
          <w:noProof/>
          <w:lang w:val="uk-UA"/>
        </w:rPr>
        <w:t>Зберігати в оригінальній упаковці при температурі від 4 до 25 °С у недоступному для дітей місці, окремо від харчових продуктів і кормів. Не допускати потрапляння прямих сонячних променів та вологи.</w:t>
      </w:r>
    </w:p>
    <w:p w:rsidR="007B4BA6" w:rsidRPr="00C02DFE" w:rsidRDefault="007B4BA6" w:rsidP="002F2A3F">
      <w:pPr>
        <w:ind w:firstLine="567"/>
        <w:contextualSpacing/>
        <w:jc w:val="both"/>
        <w:rPr>
          <w:b/>
          <w:lang w:val="uk-UA"/>
        </w:rPr>
      </w:pPr>
      <w:r w:rsidRPr="00C02DFE">
        <w:rPr>
          <w:b/>
          <w:lang w:val="uk-UA"/>
        </w:rPr>
        <w:t>6.4. Природа і склад контейнера первинного упакування</w:t>
      </w:r>
    </w:p>
    <w:p w:rsidR="007B4BA6" w:rsidRPr="00C02DFE" w:rsidRDefault="007B4BA6" w:rsidP="002F2A3F">
      <w:pPr>
        <w:ind w:firstLine="567"/>
        <w:contextualSpacing/>
        <w:jc w:val="both"/>
        <w:rPr>
          <w:bCs/>
          <w:lang w:val="uk-UA"/>
        </w:rPr>
      </w:pPr>
      <w:r w:rsidRPr="00C02DFE">
        <w:rPr>
          <w:bCs/>
          <w:lang w:val="uk-UA"/>
        </w:rPr>
        <w:t>Герметично запаковані пакети з поліетиленової, пропіленової, або металізованої поліефірної плівки в картонних коробках по 10, 12, 40, 100 смужок.</w:t>
      </w:r>
    </w:p>
    <w:p w:rsidR="007B4BA6" w:rsidRPr="00C02DFE" w:rsidRDefault="007B4BA6" w:rsidP="002F2A3F">
      <w:pPr>
        <w:ind w:firstLine="567"/>
        <w:contextualSpacing/>
        <w:jc w:val="both"/>
        <w:rPr>
          <w:b/>
          <w:lang w:val="uk-UA"/>
        </w:rPr>
      </w:pPr>
      <w:r w:rsidRPr="00C02DFE">
        <w:rPr>
          <w:b/>
          <w:lang w:val="uk-UA"/>
        </w:rPr>
        <w:t>6.5. Особливі заходи безпеки при поводженні з невикористаним препаратом або із його залишками</w:t>
      </w:r>
    </w:p>
    <w:p w:rsidR="007B4BA6" w:rsidRPr="00C02DFE" w:rsidRDefault="007B4BA6" w:rsidP="002F2A3F">
      <w:pPr>
        <w:ind w:firstLine="567"/>
        <w:contextualSpacing/>
        <w:jc w:val="both"/>
        <w:rPr>
          <w:lang w:val="uk-UA"/>
        </w:rPr>
      </w:pPr>
      <w:r w:rsidRPr="00C02DFE">
        <w:rPr>
          <w:lang w:val="uk-UA"/>
        </w:rPr>
        <w:t>Пакування та залишки препарату, непридатні для подальшого використання, спалюють у спеціально відведених для цього місцях відповідно до чинних вимог.</w:t>
      </w:r>
    </w:p>
    <w:p w:rsidR="007B4BA6" w:rsidRPr="00C02DFE" w:rsidRDefault="007B4BA6" w:rsidP="002F2A3F">
      <w:pPr>
        <w:ind w:firstLine="567"/>
        <w:contextualSpacing/>
        <w:jc w:val="both"/>
        <w:rPr>
          <w:b/>
          <w:lang w:val="uk-UA"/>
        </w:rPr>
      </w:pPr>
      <w:r w:rsidRPr="00C02DFE">
        <w:rPr>
          <w:b/>
          <w:lang w:val="uk-UA"/>
        </w:rPr>
        <w:t>7. Назва та місце знаходження власника реєстраційного посвідчення</w:t>
      </w:r>
    </w:p>
    <w:p w:rsidR="007B4BA6" w:rsidRPr="00C02DFE" w:rsidRDefault="007B4BA6" w:rsidP="002F2A3F">
      <w:pPr>
        <w:ind w:firstLine="567"/>
        <w:contextualSpacing/>
        <w:jc w:val="both"/>
        <w:rPr>
          <w:lang w:val="uk-UA"/>
        </w:rPr>
      </w:pPr>
      <w:r w:rsidRPr="00C02DFE">
        <w:rPr>
          <w:lang w:val="uk-UA"/>
        </w:rPr>
        <w:t>ТОВ «НВО «АпіМедікум», Україна, 61202, м. Харків, а/с 2026.</w:t>
      </w:r>
    </w:p>
    <w:p w:rsidR="007B4BA6" w:rsidRPr="00C02DFE" w:rsidRDefault="007B4BA6" w:rsidP="002F2A3F">
      <w:pPr>
        <w:ind w:firstLine="567"/>
        <w:contextualSpacing/>
        <w:jc w:val="both"/>
        <w:rPr>
          <w:lang w:val="uk-UA"/>
        </w:rPr>
      </w:pPr>
      <w:r w:rsidRPr="00C02DFE">
        <w:rPr>
          <w:lang w:val="uk-UA"/>
        </w:rPr>
        <w:t>Телефон: +380507068822.</w:t>
      </w:r>
    </w:p>
    <w:p w:rsidR="007B4BA6" w:rsidRPr="00C02DFE" w:rsidRDefault="007B4BA6" w:rsidP="002F2A3F">
      <w:pPr>
        <w:ind w:firstLine="567"/>
        <w:contextualSpacing/>
        <w:jc w:val="both"/>
        <w:rPr>
          <w:lang w:val="uk-UA"/>
        </w:rPr>
      </w:pPr>
      <w:r w:rsidRPr="00C02DFE">
        <w:rPr>
          <w:lang w:val="uk-UA"/>
        </w:rPr>
        <w:t xml:space="preserve">E-mail: </w:t>
      </w:r>
      <w:hyperlink r:id="rId6" w:history="1">
        <w:r w:rsidRPr="00C02DFE">
          <w:rPr>
            <w:u w:val="single"/>
            <w:lang w:val="uk-UA"/>
          </w:rPr>
          <w:t>apimedicum@gmail.com</w:t>
        </w:r>
      </w:hyperlink>
      <w:r w:rsidRPr="00C02DFE">
        <w:rPr>
          <w:lang w:val="uk-UA"/>
        </w:rPr>
        <w:t>.</w:t>
      </w:r>
    </w:p>
    <w:p w:rsidR="007B4BA6" w:rsidRPr="00C02DFE" w:rsidRDefault="007B4BA6" w:rsidP="002F2A3F">
      <w:pPr>
        <w:ind w:firstLine="567"/>
        <w:contextualSpacing/>
        <w:jc w:val="both"/>
        <w:rPr>
          <w:b/>
          <w:lang w:val="uk-UA"/>
        </w:rPr>
      </w:pPr>
      <w:r w:rsidRPr="00C02DFE">
        <w:rPr>
          <w:b/>
          <w:lang w:val="uk-UA"/>
        </w:rPr>
        <w:t>8. Назва та місце знаходження виробника (виробників)</w:t>
      </w:r>
    </w:p>
    <w:p w:rsidR="007B4BA6" w:rsidRPr="00C02DFE" w:rsidRDefault="007B4BA6" w:rsidP="002F2A3F">
      <w:pPr>
        <w:ind w:firstLine="567"/>
        <w:contextualSpacing/>
        <w:jc w:val="both"/>
        <w:rPr>
          <w:lang w:val="uk-UA"/>
        </w:rPr>
      </w:pPr>
      <w:r w:rsidRPr="00C02DFE">
        <w:rPr>
          <w:lang w:val="uk-UA"/>
        </w:rPr>
        <w:t>ТОВ «НВО «АпіМедікум», Україна, 61093, м. Харків, вул. Рилєєва, буд 60.</w:t>
      </w:r>
    </w:p>
    <w:p w:rsidR="007B4BA6" w:rsidRPr="00C02DFE" w:rsidRDefault="007B4BA6" w:rsidP="002F2A3F">
      <w:pPr>
        <w:ind w:firstLine="567"/>
        <w:contextualSpacing/>
        <w:jc w:val="both"/>
        <w:rPr>
          <w:lang w:val="uk-UA"/>
        </w:rPr>
      </w:pPr>
      <w:r w:rsidRPr="00C02DFE">
        <w:rPr>
          <w:lang w:val="uk-UA"/>
        </w:rPr>
        <w:t>Телефон: +380507068822.</w:t>
      </w:r>
    </w:p>
    <w:p w:rsidR="007B4BA6" w:rsidRPr="00C02DFE" w:rsidRDefault="007B4BA6" w:rsidP="002F2A3F">
      <w:pPr>
        <w:ind w:firstLine="567"/>
        <w:contextualSpacing/>
        <w:jc w:val="both"/>
        <w:rPr>
          <w:lang w:val="uk-UA"/>
        </w:rPr>
      </w:pPr>
      <w:r w:rsidRPr="00C02DFE">
        <w:rPr>
          <w:lang w:val="uk-UA"/>
        </w:rPr>
        <w:t xml:space="preserve">E-mail: </w:t>
      </w:r>
      <w:hyperlink r:id="rId7" w:history="1">
        <w:r w:rsidRPr="00C02DFE">
          <w:rPr>
            <w:u w:val="single"/>
            <w:lang w:val="uk-UA"/>
          </w:rPr>
          <w:t>apimedicum@gmail.com</w:t>
        </w:r>
      </w:hyperlink>
      <w:r w:rsidRPr="00C02DFE">
        <w:rPr>
          <w:lang w:val="uk-UA"/>
        </w:rPr>
        <w:t>.</w:t>
      </w:r>
    </w:p>
    <w:p w:rsidR="007B4BA6" w:rsidRPr="00C02DFE" w:rsidRDefault="007B4BA6" w:rsidP="002F2A3F">
      <w:pPr>
        <w:ind w:firstLine="567"/>
        <w:contextualSpacing/>
        <w:jc w:val="both"/>
        <w:rPr>
          <w:lang w:val="uk-UA"/>
        </w:rPr>
      </w:pPr>
      <w:r w:rsidRPr="00C02DFE">
        <w:rPr>
          <w:lang w:val="uk-UA"/>
        </w:rPr>
        <w:t>ФОП Євтушенко О.С., Україна, 61093, м. Харків, вул. Рилєєва, буд 60.</w:t>
      </w:r>
    </w:p>
    <w:p w:rsidR="007B4BA6" w:rsidRPr="00C02DFE" w:rsidRDefault="007B4BA6" w:rsidP="002F2A3F">
      <w:pPr>
        <w:ind w:firstLine="567"/>
        <w:contextualSpacing/>
        <w:jc w:val="both"/>
        <w:rPr>
          <w:lang w:val="uk-UA"/>
        </w:rPr>
      </w:pPr>
      <w:r w:rsidRPr="00C02DFE">
        <w:rPr>
          <w:lang w:val="uk-UA"/>
        </w:rPr>
        <w:t>Телефон: +380669960004.</w:t>
      </w:r>
    </w:p>
    <w:p w:rsidR="007B4BA6" w:rsidRPr="00C02DFE" w:rsidRDefault="007B4BA6" w:rsidP="002F2A3F">
      <w:pPr>
        <w:ind w:firstLine="567"/>
        <w:contextualSpacing/>
        <w:jc w:val="both"/>
        <w:rPr>
          <w:lang w:val="uk-UA"/>
        </w:rPr>
      </w:pPr>
      <w:r w:rsidRPr="00C02DFE">
        <w:rPr>
          <w:lang w:val="uk-UA"/>
        </w:rPr>
        <w:t xml:space="preserve">E-mail: </w:t>
      </w:r>
      <w:hyperlink r:id="rId8" w:history="1">
        <w:r w:rsidRPr="00C02DFE">
          <w:rPr>
            <w:color w:val="0000FF"/>
            <w:u w:val="single"/>
            <w:lang w:val="uk-UA"/>
          </w:rPr>
          <w:t>evtolena88@gmail.com</w:t>
        </w:r>
      </w:hyperlink>
      <w:r w:rsidRPr="00C02DFE">
        <w:rPr>
          <w:lang w:val="uk-UA"/>
        </w:rPr>
        <w:t>.</w:t>
      </w:r>
    </w:p>
    <w:p w:rsidR="007B4BA6" w:rsidRPr="00C02DFE" w:rsidRDefault="007B4BA6" w:rsidP="002F2A3F">
      <w:pPr>
        <w:ind w:firstLine="567"/>
        <w:contextualSpacing/>
        <w:jc w:val="both"/>
        <w:rPr>
          <w:b/>
          <w:lang w:val="uk-UA"/>
        </w:rPr>
      </w:pPr>
      <w:r w:rsidRPr="00C02DFE">
        <w:rPr>
          <w:b/>
          <w:lang w:val="uk-UA"/>
        </w:rPr>
        <w:t>9. Додаткова інформація</w:t>
      </w:r>
    </w:p>
    <w:p w:rsidR="007B4BA6" w:rsidRPr="009741D8" w:rsidRDefault="007B4BA6" w:rsidP="002F2A3F">
      <w:pPr>
        <w:ind w:firstLine="567"/>
        <w:contextualSpacing/>
        <w:jc w:val="both"/>
        <w:rPr>
          <w:lang w:val="uk-UA"/>
        </w:rPr>
      </w:pPr>
      <w:r w:rsidRPr="00C02DFE">
        <w:rPr>
          <w:lang w:val="uk-UA"/>
        </w:rPr>
        <w:t>Якщо препарат Флювінекс не відповідає вимогам листівки-вкладки, застосування цієї серії негайно припиняють і повідомляють Державний науково-дослідний контрольний інститут ветеринарних препаратів та кормових добавок та постачальника (виробника). Одночасно з рекламацією у контрольний інститут, відповідно до «Вказівки про порядок пред’явлення рекламацій на біологічні препарати, що призначені для застосування у ветеринарній медицині» від 03.06.98 № 2, направляють дві упаковки цієї серії препарату за адресою: 79019, м. Львів, вул. Донецька, 11, ДНДКІ ветеринарних препаратів та кормових добавок.</w:t>
      </w:r>
    </w:p>
    <w:p w:rsidR="007B4BA6" w:rsidRPr="00642593" w:rsidRDefault="007B4BA6" w:rsidP="002F2A3F">
      <w:pPr>
        <w:ind w:firstLine="567"/>
      </w:pPr>
    </w:p>
    <w:sectPr w:rsidR="007B4BA6" w:rsidRPr="00642593" w:rsidSect="002F2A3F">
      <w:footerReference w:type="default" r:id="rId9"/>
      <w:pgSz w:w="11906" w:h="16838"/>
      <w:pgMar w:top="567" w:right="45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A6" w:rsidRDefault="007B4BA6" w:rsidP="00642593">
      <w:r>
        <w:separator/>
      </w:r>
    </w:p>
  </w:endnote>
  <w:endnote w:type="continuationSeparator" w:id="0">
    <w:p w:rsidR="007B4BA6" w:rsidRDefault="007B4BA6" w:rsidP="0064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A6" w:rsidRDefault="007B4BA6" w:rsidP="002F2A3F">
    <w:pPr>
      <w:pStyle w:val="Footer"/>
      <w:jc w:val="right"/>
    </w:pP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A6" w:rsidRDefault="007B4BA6" w:rsidP="00642593">
      <w:r>
        <w:separator/>
      </w:r>
    </w:p>
  </w:footnote>
  <w:footnote w:type="continuationSeparator" w:id="0">
    <w:p w:rsidR="007B4BA6" w:rsidRDefault="007B4BA6" w:rsidP="00642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097"/>
    <w:rsid w:val="00012BC3"/>
    <w:rsid w:val="00013F86"/>
    <w:rsid w:val="00042710"/>
    <w:rsid w:val="000F2817"/>
    <w:rsid w:val="001811DE"/>
    <w:rsid w:val="00212045"/>
    <w:rsid w:val="0025454E"/>
    <w:rsid w:val="002F2A3F"/>
    <w:rsid w:val="00404E9F"/>
    <w:rsid w:val="00452E9A"/>
    <w:rsid w:val="004E5BA2"/>
    <w:rsid w:val="005E5658"/>
    <w:rsid w:val="00617B91"/>
    <w:rsid w:val="00642593"/>
    <w:rsid w:val="0077733F"/>
    <w:rsid w:val="00783437"/>
    <w:rsid w:val="007B4BA6"/>
    <w:rsid w:val="008277E6"/>
    <w:rsid w:val="008E5EAF"/>
    <w:rsid w:val="009160AD"/>
    <w:rsid w:val="00957AC5"/>
    <w:rsid w:val="009741D8"/>
    <w:rsid w:val="00A03DB2"/>
    <w:rsid w:val="00A07D50"/>
    <w:rsid w:val="00A35C72"/>
    <w:rsid w:val="00A45C71"/>
    <w:rsid w:val="00A70F67"/>
    <w:rsid w:val="00A96F25"/>
    <w:rsid w:val="00AF2344"/>
    <w:rsid w:val="00B274F3"/>
    <w:rsid w:val="00C02DFE"/>
    <w:rsid w:val="00CD6BF3"/>
    <w:rsid w:val="00D13E4E"/>
    <w:rsid w:val="00D20097"/>
    <w:rsid w:val="00DD2613"/>
    <w:rsid w:val="00E36A71"/>
    <w:rsid w:val="00F553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93"/>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2593"/>
    <w:pPr>
      <w:tabs>
        <w:tab w:val="center" w:pos="4677"/>
        <w:tab w:val="right" w:pos="9355"/>
      </w:tabs>
    </w:pPr>
  </w:style>
  <w:style w:type="character" w:customStyle="1" w:styleId="HeaderChar">
    <w:name w:val="Header Char"/>
    <w:basedOn w:val="DefaultParagraphFont"/>
    <w:link w:val="Header"/>
    <w:uiPriority w:val="99"/>
    <w:locked/>
    <w:rsid w:val="00642593"/>
    <w:rPr>
      <w:rFonts w:ascii="Times New Roman" w:hAnsi="Times New Roman"/>
      <w:sz w:val="24"/>
      <w:lang w:val="ru-RU" w:eastAsia="ru-RU"/>
    </w:rPr>
  </w:style>
  <w:style w:type="paragraph" w:styleId="Footer">
    <w:name w:val="footer"/>
    <w:basedOn w:val="Normal"/>
    <w:link w:val="FooterChar"/>
    <w:uiPriority w:val="99"/>
    <w:rsid w:val="00642593"/>
    <w:pPr>
      <w:tabs>
        <w:tab w:val="center" w:pos="4677"/>
        <w:tab w:val="right" w:pos="9355"/>
      </w:tabs>
    </w:pPr>
  </w:style>
  <w:style w:type="character" w:customStyle="1" w:styleId="FooterChar">
    <w:name w:val="Footer Char"/>
    <w:basedOn w:val="DefaultParagraphFont"/>
    <w:link w:val="Footer"/>
    <w:uiPriority w:val="99"/>
    <w:locked/>
    <w:rsid w:val="00642593"/>
    <w:rPr>
      <w:rFonts w:ascii="Times New Roman" w:hAnsi="Times New Roman"/>
      <w:sz w:val="24"/>
      <w:lang w:val="ru-RU" w:eastAsia="ru-RU"/>
    </w:rPr>
  </w:style>
  <w:style w:type="character" w:styleId="CommentReference">
    <w:name w:val="annotation reference"/>
    <w:basedOn w:val="DefaultParagraphFont"/>
    <w:uiPriority w:val="99"/>
    <w:semiHidden/>
    <w:rsid w:val="00A03DB2"/>
    <w:rPr>
      <w:rFonts w:cs="Times New Roman"/>
      <w:sz w:val="16"/>
    </w:rPr>
  </w:style>
  <w:style w:type="paragraph" w:styleId="CommentText">
    <w:name w:val="annotation text"/>
    <w:basedOn w:val="Normal"/>
    <w:link w:val="CommentTextChar"/>
    <w:uiPriority w:val="99"/>
    <w:semiHidden/>
    <w:rsid w:val="00A03DB2"/>
    <w:rPr>
      <w:sz w:val="20"/>
      <w:szCs w:val="20"/>
    </w:rPr>
  </w:style>
  <w:style w:type="character" w:customStyle="1" w:styleId="CommentTextChar">
    <w:name w:val="Comment Text Char"/>
    <w:basedOn w:val="DefaultParagraphFont"/>
    <w:link w:val="CommentText"/>
    <w:uiPriority w:val="99"/>
    <w:semiHidden/>
    <w:locked/>
    <w:rsid w:val="00A03DB2"/>
    <w:rPr>
      <w:rFonts w:ascii="Times New Roman" w:hAnsi="Times New Roman"/>
      <w:sz w:val="20"/>
      <w:lang w:val="ru-RU" w:eastAsia="ru-RU"/>
    </w:rPr>
  </w:style>
  <w:style w:type="paragraph" w:styleId="BalloonText">
    <w:name w:val="Balloon Text"/>
    <w:basedOn w:val="Normal"/>
    <w:link w:val="BalloonTextChar"/>
    <w:uiPriority w:val="99"/>
    <w:semiHidden/>
    <w:rsid w:val="00A03D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DB2"/>
    <w:rPr>
      <w:rFonts w:ascii="Tahoma" w:hAnsi="Tahoma"/>
      <w:sz w:val="16"/>
      <w:lang w:val="ru-RU" w:eastAsia="ru-RU"/>
    </w:rPr>
  </w:style>
  <w:style w:type="paragraph" w:styleId="CommentSubject">
    <w:name w:val="annotation subject"/>
    <w:basedOn w:val="CommentText"/>
    <w:next w:val="CommentText"/>
    <w:link w:val="CommentSubjectChar"/>
    <w:uiPriority w:val="99"/>
    <w:semiHidden/>
    <w:rsid w:val="00042710"/>
    <w:rPr>
      <w:b/>
      <w:bCs/>
    </w:rPr>
  </w:style>
  <w:style w:type="character" w:customStyle="1" w:styleId="CommentSubjectChar">
    <w:name w:val="Comment Subject Char"/>
    <w:basedOn w:val="CommentTextChar"/>
    <w:link w:val="CommentSubject"/>
    <w:uiPriority w:val="99"/>
    <w:semiHidden/>
    <w:locked/>
    <w:rsid w:val="00042710"/>
    <w:rPr>
      <w:rFonts w:ascii="Times New Roman" w:hAnsi="Times New Roman"/>
      <w:b/>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tolena88@gmail.com" TargetMode="External"/><Relationship Id="rId3" Type="http://schemas.openxmlformats.org/officeDocument/2006/relationships/webSettings" Target="webSettings.xml"/><Relationship Id="rId7" Type="http://schemas.openxmlformats.org/officeDocument/2006/relationships/hyperlink" Target="mailto:apimedicu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imedicum@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4697</Words>
  <Characters>2678</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Vezdenko</cp:lastModifiedBy>
  <cp:revision>15</cp:revision>
  <dcterms:created xsi:type="dcterms:W3CDTF">2025-02-17T08:29:00Z</dcterms:created>
  <dcterms:modified xsi:type="dcterms:W3CDTF">2025-04-25T14:24:00Z</dcterms:modified>
</cp:coreProperties>
</file>