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B6" w:rsidRPr="003912DC" w:rsidRDefault="003461B6" w:rsidP="003461B6">
      <w:pPr>
        <w:jc w:val="right"/>
        <w:rPr>
          <w:sz w:val="24"/>
          <w:szCs w:val="24"/>
          <w:lang w:val="uk-UA"/>
        </w:rPr>
      </w:pPr>
      <w:r w:rsidRPr="003912DC">
        <w:rPr>
          <w:sz w:val="24"/>
          <w:szCs w:val="24"/>
          <w:lang w:val="uk-UA"/>
        </w:rPr>
        <w:t>Додаток 1</w:t>
      </w:r>
    </w:p>
    <w:p w:rsidR="003461B6" w:rsidRPr="003912DC" w:rsidRDefault="003461B6" w:rsidP="003461B6">
      <w:pPr>
        <w:jc w:val="right"/>
        <w:rPr>
          <w:sz w:val="24"/>
          <w:szCs w:val="24"/>
          <w:lang w:val="uk-UA"/>
        </w:rPr>
      </w:pPr>
      <w:r w:rsidRPr="003912DC">
        <w:rPr>
          <w:sz w:val="24"/>
          <w:szCs w:val="24"/>
          <w:lang w:val="uk-UA"/>
        </w:rPr>
        <w:t>до р</w:t>
      </w:r>
      <w:r w:rsidR="00ED7BA3">
        <w:rPr>
          <w:sz w:val="24"/>
          <w:szCs w:val="24"/>
          <w:lang w:val="uk-UA"/>
        </w:rPr>
        <w:t>еєстраційного посвідчення АВ-00937</w:t>
      </w:r>
      <w:r w:rsidRPr="003912DC">
        <w:rPr>
          <w:sz w:val="24"/>
          <w:szCs w:val="24"/>
          <w:lang w:val="uk-UA"/>
        </w:rPr>
        <w:t>-01-1</w:t>
      </w:r>
      <w:r w:rsidR="00ED7BA3">
        <w:rPr>
          <w:sz w:val="24"/>
          <w:szCs w:val="24"/>
          <w:lang w:val="uk-UA"/>
        </w:rPr>
        <w:t>0</w:t>
      </w:r>
    </w:p>
    <w:p w:rsidR="003461B6" w:rsidRDefault="003461B6" w:rsidP="00FC351D">
      <w:pPr>
        <w:jc w:val="center"/>
        <w:rPr>
          <w:b/>
          <w:sz w:val="24"/>
          <w:szCs w:val="24"/>
          <w:lang w:val="uk-UA"/>
        </w:rPr>
      </w:pPr>
    </w:p>
    <w:p w:rsidR="003461B6" w:rsidRDefault="003461B6" w:rsidP="00FC351D">
      <w:pPr>
        <w:jc w:val="center"/>
        <w:rPr>
          <w:b/>
          <w:sz w:val="24"/>
          <w:szCs w:val="24"/>
          <w:lang w:val="uk-UA"/>
        </w:rPr>
      </w:pPr>
    </w:p>
    <w:p w:rsidR="00FC351D" w:rsidRPr="00A66E12" w:rsidRDefault="00FC351D" w:rsidP="00FC351D">
      <w:pPr>
        <w:jc w:val="center"/>
        <w:rPr>
          <w:b/>
          <w:sz w:val="24"/>
          <w:szCs w:val="24"/>
        </w:rPr>
      </w:pPr>
      <w:r w:rsidRPr="00A66E12">
        <w:rPr>
          <w:b/>
          <w:sz w:val="24"/>
          <w:szCs w:val="24"/>
          <w:lang w:val="uk-UA"/>
        </w:rPr>
        <w:t>Коротка характеристика препарат</w:t>
      </w:r>
      <w:r w:rsidRPr="00A66E12">
        <w:rPr>
          <w:b/>
          <w:sz w:val="24"/>
          <w:szCs w:val="24"/>
        </w:rPr>
        <w:t>у</w:t>
      </w:r>
    </w:p>
    <w:p w:rsidR="00FC351D" w:rsidRPr="00A66E12" w:rsidRDefault="00FC351D" w:rsidP="00FC351D">
      <w:pPr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 xml:space="preserve">1. Назва </w:t>
      </w:r>
    </w:p>
    <w:p w:rsidR="00FC351D" w:rsidRPr="00A66E12" w:rsidRDefault="00FC351D" w:rsidP="00FC351D">
      <w:pPr>
        <w:pStyle w:val="a7"/>
        <w:ind w:firstLine="567"/>
        <w:jc w:val="both"/>
        <w:rPr>
          <w:b w:val="0"/>
          <w:sz w:val="24"/>
          <w:szCs w:val="24"/>
        </w:rPr>
      </w:pPr>
      <w:proofErr w:type="spellStart"/>
      <w:r w:rsidRPr="00A66E12">
        <w:rPr>
          <w:b w:val="0"/>
          <w:sz w:val="24"/>
          <w:szCs w:val="24"/>
        </w:rPr>
        <w:t>Цефтріаксон</w:t>
      </w:r>
      <w:proofErr w:type="spellEnd"/>
    </w:p>
    <w:p w:rsidR="00FC351D" w:rsidRPr="00A66E12" w:rsidRDefault="00FC351D" w:rsidP="00FC351D">
      <w:pPr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2. Склад</w:t>
      </w:r>
    </w:p>
    <w:p w:rsidR="00FC351D" w:rsidRPr="00A66E12" w:rsidRDefault="00FC351D" w:rsidP="00FC351D">
      <w:pPr>
        <w:pStyle w:val="a7"/>
        <w:ind w:firstLine="567"/>
        <w:jc w:val="both"/>
        <w:rPr>
          <w:b w:val="0"/>
          <w:sz w:val="24"/>
          <w:szCs w:val="24"/>
        </w:rPr>
      </w:pPr>
      <w:r w:rsidRPr="00A66E12">
        <w:rPr>
          <w:b w:val="0"/>
          <w:sz w:val="24"/>
          <w:szCs w:val="24"/>
        </w:rPr>
        <w:t xml:space="preserve">1 флакон препарату містить </w:t>
      </w:r>
      <w:r w:rsidRPr="00A66E12">
        <w:rPr>
          <w:b w:val="0"/>
          <w:bCs/>
          <w:sz w:val="24"/>
          <w:szCs w:val="24"/>
        </w:rPr>
        <w:t>діючу речовину</w:t>
      </w:r>
      <w:r w:rsidRPr="00A66E12">
        <w:rPr>
          <w:b w:val="0"/>
          <w:sz w:val="24"/>
          <w:szCs w:val="24"/>
        </w:rPr>
        <w:t>:</w:t>
      </w:r>
    </w:p>
    <w:p w:rsidR="00FC351D" w:rsidRPr="00A66E12" w:rsidRDefault="00FC351D" w:rsidP="00FC351D">
      <w:pPr>
        <w:pStyle w:val="a7"/>
        <w:ind w:firstLine="567"/>
        <w:jc w:val="left"/>
        <w:rPr>
          <w:b w:val="0"/>
          <w:sz w:val="24"/>
          <w:szCs w:val="24"/>
        </w:rPr>
      </w:pPr>
      <w:proofErr w:type="spellStart"/>
      <w:r w:rsidRPr="00A66E12">
        <w:rPr>
          <w:b w:val="0"/>
          <w:sz w:val="24"/>
          <w:szCs w:val="24"/>
        </w:rPr>
        <w:t>цефтріаксон</w:t>
      </w:r>
      <w:proofErr w:type="spellEnd"/>
      <w:r w:rsidRPr="00A66E12">
        <w:rPr>
          <w:b w:val="0"/>
          <w:sz w:val="24"/>
          <w:szCs w:val="24"/>
        </w:rPr>
        <w:t xml:space="preserve"> (у вигляді </w:t>
      </w:r>
      <w:proofErr w:type="spellStart"/>
      <w:r w:rsidRPr="00A66E12">
        <w:rPr>
          <w:b w:val="0"/>
          <w:sz w:val="24"/>
          <w:szCs w:val="24"/>
        </w:rPr>
        <w:t>цефтріаксон</w:t>
      </w:r>
      <w:proofErr w:type="spellEnd"/>
      <w:r w:rsidRPr="00A66E12">
        <w:rPr>
          <w:b w:val="0"/>
          <w:sz w:val="24"/>
          <w:szCs w:val="24"/>
        </w:rPr>
        <w:t xml:space="preserve"> натрієвої солі) – 1000 мг.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3. Фармацевтична форма</w:t>
      </w:r>
    </w:p>
    <w:p w:rsidR="00FC351D" w:rsidRPr="00A66E12" w:rsidRDefault="00FC351D" w:rsidP="00FC351D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/>
        </w:rPr>
        <w:t>Порошок для розчину для ін’єкцій.</w:t>
      </w:r>
    </w:p>
    <w:p w:rsidR="00FC351D" w:rsidRPr="00A66E12" w:rsidRDefault="00FC351D" w:rsidP="00FC351D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4. Фармакологічні властивості</w:t>
      </w:r>
      <w:r w:rsidRPr="00A66E12">
        <w:rPr>
          <w:sz w:val="24"/>
          <w:szCs w:val="24"/>
          <w:lang w:val="uk-UA"/>
        </w:rPr>
        <w:t>.</w:t>
      </w:r>
    </w:p>
    <w:p w:rsidR="001C551A" w:rsidRPr="007C46E3" w:rsidRDefault="001C551A" w:rsidP="001C551A">
      <w:pPr>
        <w:ind w:firstLine="567"/>
        <w:jc w:val="both"/>
        <w:rPr>
          <w:b/>
          <w:i/>
          <w:sz w:val="24"/>
          <w:szCs w:val="24"/>
          <w:lang w:val="uk-UA"/>
        </w:rPr>
      </w:pPr>
      <w:r w:rsidRPr="007C46E3">
        <w:rPr>
          <w:b/>
          <w:i/>
          <w:sz w:val="24"/>
          <w:szCs w:val="24"/>
          <w:lang w:val="uk-UA"/>
        </w:rPr>
        <w:t xml:space="preserve">ATC </w:t>
      </w:r>
      <w:proofErr w:type="spellStart"/>
      <w:r w:rsidRPr="007C46E3">
        <w:rPr>
          <w:b/>
          <w:i/>
          <w:sz w:val="24"/>
          <w:szCs w:val="24"/>
          <w:lang w:val="uk-UA"/>
        </w:rPr>
        <w:t>vet</w:t>
      </w:r>
      <w:proofErr w:type="spellEnd"/>
      <w:r w:rsidRPr="007C46E3">
        <w:rPr>
          <w:b/>
          <w:i/>
          <w:sz w:val="24"/>
          <w:szCs w:val="24"/>
          <w:lang w:val="uk-UA"/>
        </w:rPr>
        <w:t xml:space="preserve"> класифікаційний код QJ01 – антибактеріальні ветеринарні препарати для системного застосування. QJ01</w:t>
      </w:r>
      <w:r w:rsidRPr="007C46E3">
        <w:rPr>
          <w:b/>
          <w:i/>
          <w:sz w:val="24"/>
          <w:szCs w:val="24"/>
          <w:lang w:val="en-US"/>
        </w:rPr>
        <w:t>DD</w:t>
      </w:r>
      <w:r w:rsidRPr="007C46E3">
        <w:rPr>
          <w:b/>
          <w:i/>
          <w:sz w:val="24"/>
          <w:szCs w:val="24"/>
          <w:lang w:val="uk-UA"/>
        </w:rPr>
        <w:t xml:space="preserve">04 – </w:t>
      </w:r>
      <w:proofErr w:type="spellStart"/>
      <w:r w:rsidRPr="007C46E3">
        <w:rPr>
          <w:b/>
          <w:i/>
          <w:sz w:val="24"/>
          <w:szCs w:val="24"/>
          <w:lang w:val="uk-UA"/>
        </w:rPr>
        <w:t>Цефтріаксон</w:t>
      </w:r>
      <w:proofErr w:type="spellEnd"/>
      <w:r w:rsidRPr="007C46E3">
        <w:rPr>
          <w:b/>
          <w:i/>
          <w:sz w:val="24"/>
          <w:szCs w:val="24"/>
          <w:lang w:val="uk-UA"/>
        </w:rPr>
        <w:t>.</w:t>
      </w:r>
    </w:p>
    <w:p w:rsidR="001C551A" w:rsidRPr="00A66E12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A66E12">
        <w:rPr>
          <w:sz w:val="24"/>
          <w:szCs w:val="24"/>
          <w:lang w:val="uk-UA"/>
        </w:rPr>
        <w:t>Цефтріаксон</w:t>
      </w:r>
      <w:proofErr w:type="spellEnd"/>
      <w:r w:rsidRPr="00A66E12">
        <w:rPr>
          <w:sz w:val="24"/>
          <w:szCs w:val="24"/>
          <w:lang w:val="uk-UA"/>
        </w:rPr>
        <w:t xml:space="preserve"> – напівсинтетичний </w:t>
      </w:r>
      <w:proofErr w:type="spellStart"/>
      <w:r w:rsidRPr="00A66E12">
        <w:rPr>
          <w:sz w:val="24"/>
          <w:szCs w:val="24"/>
          <w:lang w:val="uk-UA"/>
        </w:rPr>
        <w:t>цефалоспориновий</w:t>
      </w:r>
      <w:proofErr w:type="spellEnd"/>
      <w:r w:rsidRPr="00A66E12">
        <w:rPr>
          <w:sz w:val="24"/>
          <w:szCs w:val="24"/>
          <w:lang w:val="uk-UA"/>
        </w:rPr>
        <w:t xml:space="preserve"> антибіотик </w:t>
      </w:r>
      <w:r w:rsidRPr="00A66E12">
        <w:rPr>
          <w:sz w:val="24"/>
          <w:szCs w:val="24"/>
          <w:shd w:val="clear" w:color="auto" w:fill="FFFFFF"/>
          <w:lang w:val="uk-UA"/>
        </w:rPr>
        <w:t>третього покоління</w:t>
      </w:r>
      <w:r w:rsidRPr="00A66E12">
        <w:rPr>
          <w:sz w:val="24"/>
          <w:szCs w:val="24"/>
          <w:lang w:val="uk-UA"/>
        </w:rPr>
        <w:t xml:space="preserve">. Діє на чутливі мікроорганізми під час їх активного розмноження шляхом пригнічення біосинтезу </w:t>
      </w:r>
      <w:proofErr w:type="spellStart"/>
      <w:r w:rsidRPr="00A66E12">
        <w:rPr>
          <w:sz w:val="24"/>
          <w:szCs w:val="24"/>
          <w:lang w:val="uk-UA"/>
        </w:rPr>
        <w:t>мукопептиду</w:t>
      </w:r>
      <w:proofErr w:type="spellEnd"/>
      <w:r w:rsidRPr="00A66E12">
        <w:rPr>
          <w:sz w:val="24"/>
          <w:szCs w:val="24"/>
          <w:lang w:val="uk-UA"/>
        </w:rPr>
        <w:t xml:space="preserve"> клітинної стінки. Володіє широким спектром дії проти </w:t>
      </w:r>
      <w:proofErr w:type="spellStart"/>
      <w:r w:rsidRPr="00A66E12">
        <w:rPr>
          <w:sz w:val="24"/>
          <w:szCs w:val="24"/>
          <w:lang w:val="uk-UA"/>
        </w:rPr>
        <w:t>грампозитивних</w:t>
      </w:r>
      <w:proofErr w:type="spellEnd"/>
      <w:r w:rsidRPr="00A66E12">
        <w:rPr>
          <w:sz w:val="24"/>
          <w:szCs w:val="24"/>
          <w:lang w:val="uk-UA"/>
        </w:rPr>
        <w:t xml:space="preserve">                          (</w:t>
      </w:r>
      <w:proofErr w:type="spellStart"/>
      <w:r w:rsidRPr="00A66E12">
        <w:rPr>
          <w:i/>
          <w:sz w:val="24"/>
          <w:szCs w:val="24"/>
          <w:lang w:val="uk-UA"/>
        </w:rPr>
        <w:t>Staphylococcus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aureus</w:t>
      </w:r>
      <w:proofErr w:type="spellEnd"/>
      <w:r w:rsidRPr="00A66E12">
        <w:rPr>
          <w:i/>
          <w:sz w:val="24"/>
          <w:szCs w:val="24"/>
          <w:lang w:val="uk-UA"/>
        </w:rPr>
        <w:t xml:space="preserve">, S. </w:t>
      </w:r>
      <w:proofErr w:type="spellStart"/>
      <w:r w:rsidRPr="00A66E12">
        <w:rPr>
          <w:i/>
          <w:sz w:val="24"/>
          <w:szCs w:val="24"/>
          <w:lang w:val="uk-UA"/>
        </w:rPr>
        <w:t>epіdermіdіs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Streptococcus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pneumonіae</w:t>
      </w:r>
      <w:proofErr w:type="spellEnd"/>
      <w:r w:rsidRPr="00A66E12">
        <w:rPr>
          <w:i/>
          <w:sz w:val="24"/>
          <w:szCs w:val="24"/>
          <w:lang w:val="uk-UA"/>
        </w:rPr>
        <w:t xml:space="preserve">, S. </w:t>
      </w:r>
      <w:proofErr w:type="spellStart"/>
      <w:r w:rsidRPr="00A66E12">
        <w:rPr>
          <w:i/>
          <w:sz w:val="24"/>
          <w:szCs w:val="24"/>
          <w:lang w:val="uk-UA"/>
        </w:rPr>
        <w:t>pyogenes</w:t>
      </w:r>
      <w:proofErr w:type="spellEnd"/>
      <w:r w:rsidRPr="00A66E12">
        <w:rPr>
          <w:i/>
          <w:sz w:val="24"/>
          <w:szCs w:val="24"/>
          <w:lang w:val="uk-UA"/>
        </w:rPr>
        <w:t xml:space="preserve">, S. </w:t>
      </w:r>
      <w:proofErr w:type="spellStart"/>
      <w:r w:rsidRPr="00A66E12">
        <w:rPr>
          <w:i/>
          <w:sz w:val="24"/>
          <w:szCs w:val="24"/>
          <w:lang w:val="uk-UA"/>
        </w:rPr>
        <w:t>agalactіae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r>
        <w:rPr>
          <w:i/>
          <w:sz w:val="24"/>
          <w:szCs w:val="24"/>
          <w:lang w:val="uk-UA"/>
        </w:rPr>
        <w:t xml:space="preserve">            </w:t>
      </w:r>
      <w:r w:rsidRPr="00A66E12">
        <w:rPr>
          <w:i/>
          <w:sz w:val="24"/>
          <w:szCs w:val="24"/>
          <w:lang w:val="uk-UA"/>
        </w:rPr>
        <w:t xml:space="preserve">S. </w:t>
      </w:r>
      <w:proofErr w:type="spellStart"/>
      <w:r w:rsidRPr="00A66E12">
        <w:rPr>
          <w:i/>
          <w:sz w:val="24"/>
          <w:szCs w:val="24"/>
          <w:lang w:val="uk-UA"/>
        </w:rPr>
        <w:t>vіrіdans</w:t>
      </w:r>
      <w:proofErr w:type="spellEnd"/>
      <w:r w:rsidRPr="00A66E12">
        <w:rPr>
          <w:i/>
          <w:sz w:val="24"/>
          <w:szCs w:val="24"/>
          <w:lang w:val="uk-UA"/>
        </w:rPr>
        <w:t xml:space="preserve">, S. </w:t>
      </w:r>
      <w:proofErr w:type="spellStart"/>
      <w:r w:rsidRPr="00A66E12">
        <w:rPr>
          <w:i/>
          <w:sz w:val="24"/>
          <w:szCs w:val="24"/>
          <w:lang w:val="uk-UA"/>
        </w:rPr>
        <w:t>bovіs</w:t>
      </w:r>
      <w:proofErr w:type="spellEnd"/>
      <w:r w:rsidRPr="00A66E12">
        <w:rPr>
          <w:sz w:val="24"/>
          <w:szCs w:val="24"/>
          <w:lang w:val="uk-UA"/>
        </w:rPr>
        <w:t xml:space="preserve">) та </w:t>
      </w:r>
      <w:proofErr w:type="spellStart"/>
      <w:r w:rsidRPr="00A66E12">
        <w:rPr>
          <w:sz w:val="24"/>
          <w:szCs w:val="24"/>
          <w:lang w:val="uk-UA"/>
        </w:rPr>
        <w:t>грамнегативних</w:t>
      </w:r>
      <w:proofErr w:type="spellEnd"/>
      <w:r w:rsidRPr="00A66E12">
        <w:rPr>
          <w:sz w:val="24"/>
          <w:szCs w:val="24"/>
          <w:lang w:val="uk-UA"/>
        </w:rPr>
        <w:t xml:space="preserve"> (</w:t>
      </w:r>
      <w:proofErr w:type="spellStart"/>
      <w:r w:rsidRPr="00A66E12">
        <w:rPr>
          <w:i/>
          <w:sz w:val="24"/>
          <w:szCs w:val="24"/>
          <w:lang w:val="uk-UA"/>
        </w:rPr>
        <w:t>Enterobacter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aerogenes</w:t>
      </w:r>
      <w:proofErr w:type="spellEnd"/>
      <w:r w:rsidRPr="00A66E12">
        <w:rPr>
          <w:i/>
          <w:sz w:val="24"/>
          <w:szCs w:val="24"/>
          <w:lang w:val="uk-UA"/>
        </w:rPr>
        <w:t xml:space="preserve">, E. </w:t>
      </w:r>
      <w:proofErr w:type="spellStart"/>
      <w:r w:rsidRPr="00A66E12">
        <w:rPr>
          <w:i/>
          <w:sz w:val="24"/>
          <w:szCs w:val="24"/>
          <w:lang w:val="uk-UA"/>
        </w:rPr>
        <w:t>cloacae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Escherіchіa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colі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Acіnetobacter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calcoacetіcus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Haemophіlus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іnfluenzae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r w:rsidRPr="00A66E12">
        <w:rPr>
          <w:sz w:val="24"/>
          <w:szCs w:val="24"/>
          <w:lang w:val="uk-UA"/>
        </w:rPr>
        <w:t xml:space="preserve">включно з штамами, що продукують </w:t>
      </w:r>
      <w:proofErr w:type="spellStart"/>
      <w:r w:rsidRPr="00A66E12">
        <w:rPr>
          <w:sz w:val="24"/>
          <w:szCs w:val="24"/>
          <w:lang w:val="uk-UA"/>
        </w:rPr>
        <w:t>пеніциліназу</w:t>
      </w:r>
      <w:proofErr w:type="spellEnd"/>
      <w:r w:rsidRPr="00A66E12">
        <w:rPr>
          <w:sz w:val="24"/>
          <w:szCs w:val="24"/>
          <w:lang w:val="uk-UA"/>
        </w:rPr>
        <w:t>,</w:t>
      </w:r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Haemophіlus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paraіnfluenzae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Klebsіella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oxytoca</w:t>
      </w:r>
      <w:proofErr w:type="spellEnd"/>
      <w:r w:rsidRPr="00A66E12">
        <w:rPr>
          <w:i/>
          <w:sz w:val="24"/>
          <w:szCs w:val="24"/>
          <w:lang w:val="uk-UA"/>
        </w:rPr>
        <w:t xml:space="preserve">, K. </w:t>
      </w:r>
      <w:proofErr w:type="spellStart"/>
      <w:r w:rsidRPr="00A66E12">
        <w:rPr>
          <w:i/>
          <w:sz w:val="24"/>
          <w:szCs w:val="24"/>
          <w:lang w:val="uk-UA"/>
        </w:rPr>
        <w:t>pneumonіae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Morganella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morganіі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Neіsserіa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menіngіtіdіs</w:t>
      </w:r>
      <w:proofErr w:type="spellEnd"/>
      <w:r w:rsidRPr="00A66E12">
        <w:rPr>
          <w:i/>
          <w:sz w:val="24"/>
          <w:szCs w:val="24"/>
          <w:lang w:val="uk-UA"/>
        </w:rPr>
        <w:t xml:space="preserve">, N. </w:t>
      </w:r>
      <w:proofErr w:type="spellStart"/>
      <w:r w:rsidRPr="00A66E12">
        <w:rPr>
          <w:i/>
          <w:sz w:val="24"/>
          <w:szCs w:val="24"/>
          <w:lang w:val="uk-UA"/>
        </w:rPr>
        <w:t>gonorrhoeae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Proteus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mіrabіlіs</w:t>
      </w:r>
      <w:proofErr w:type="spellEnd"/>
      <w:r w:rsidRPr="00A66E12">
        <w:rPr>
          <w:i/>
          <w:sz w:val="24"/>
          <w:szCs w:val="24"/>
          <w:lang w:val="uk-UA"/>
        </w:rPr>
        <w:t xml:space="preserve">, P. </w:t>
      </w:r>
      <w:proofErr w:type="spellStart"/>
      <w:r w:rsidRPr="00A66E12">
        <w:rPr>
          <w:i/>
          <w:sz w:val="24"/>
          <w:szCs w:val="24"/>
          <w:lang w:val="uk-UA"/>
        </w:rPr>
        <w:t>vulgarіs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Serratіa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marcescens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Pseudomonas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aerugіnosa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Cіtrobacter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spp</w:t>
      </w:r>
      <w:proofErr w:type="spellEnd"/>
      <w:r w:rsidRPr="00A66E12">
        <w:rPr>
          <w:i/>
          <w:sz w:val="24"/>
          <w:szCs w:val="24"/>
          <w:lang w:val="uk-UA"/>
        </w:rPr>
        <w:t xml:space="preserve">., </w:t>
      </w:r>
      <w:proofErr w:type="spellStart"/>
      <w:r w:rsidRPr="00A66E12">
        <w:rPr>
          <w:i/>
          <w:sz w:val="24"/>
          <w:szCs w:val="24"/>
          <w:lang w:val="uk-UA"/>
        </w:rPr>
        <w:t>Salmonella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spp</w:t>
      </w:r>
      <w:proofErr w:type="spellEnd"/>
      <w:r w:rsidRPr="00A66E12">
        <w:rPr>
          <w:i/>
          <w:sz w:val="24"/>
          <w:szCs w:val="24"/>
          <w:lang w:val="uk-UA"/>
        </w:rPr>
        <w:t xml:space="preserve">., </w:t>
      </w:r>
      <w:proofErr w:type="spellStart"/>
      <w:r w:rsidRPr="00A66E12">
        <w:rPr>
          <w:i/>
          <w:sz w:val="24"/>
          <w:szCs w:val="24"/>
          <w:lang w:val="uk-UA"/>
        </w:rPr>
        <w:t>Provіdencіa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spp</w:t>
      </w:r>
      <w:proofErr w:type="spellEnd"/>
      <w:r w:rsidRPr="00A66E12">
        <w:rPr>
          <w:i/>
          <w:sz w:val="24"/>
          <w:szCs w:val="24"/>
          <w:lang w:val="uk-UA"/>
        </w:rPr>
        <w:t xml:space="preserve">., </w:t>
      </w:r>
      <w:proofErr w:type="spellStart"/>
      <w:r w:rsidRPr="00A66E12">
        <w:rPr>
          <w:i/>
          <w:sz w:val="24"/>
          <w:szCs w:val="24"/>
          <w:lang w:val="uk-UA"/>
        </w:rPr>
        <w:t>Shіgella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spp</w:t>
      </w:r>
      <w:proofErr w:type="spellEnd"/>
      <w:r w:rsidRPr="00A66E12">
        <w:rPr>
          <w:i/>
          <w:sz w:val="24"/>
          <w:szCs w:val="24"/>
          <w:lang w:val="uk-UA"/>
        </w:rPr>
        <w:t xml:space="preserve">., </w:t>
      </w:r>
      <w:proofErr w:type="spellStart"/>
      <w:r w:rsidRPr="00A66E12">
        <w:rPr>
          <w:i/>
          <w:sz w:val="24"/>
          <w:szCs w:val="24"/>
          <w:lang w:val="uk-UA"/>
        </w:rPr>
        <w:t>Serratіa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spp</w:t>
      </w:r>
      <w:proofErr w:type="spellEnd"/>
      <w:r w:rsidRPr="00A66E12">
        <w:rPr>
          <w:i/>
          <w:sz w:val="24"/>
          <w:szCs w:val="24"/>
          <w:lang w:val="uk-UA"/>
        </w:rPr>
        <w:t xml:space="preserve">., </w:t>
      </w:r>
      <w:proofErr w:type="spellStart"/>
      <w:r w:rsidRPr="00A66E12">
        <w:rPr>
          <w:i/>
          <w:sz w:val="24"/>
          <w:szCs w:val="24"/>
          <w:lang w:val="uk-UA"/>
        </w:rPr>
        <w:t>Treponema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pallіdum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Bacteroіdes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fragіlіs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proofErr w:type="spellStart"/>
      <w:r w:rsidRPr="00A66E12">
        <w:rPr>
          <w:i/>
          <w:sz w:val="24"/>
          <w:szCs w:val="24"/>
          <w:lang w:val="uk-UA"/>
        </w:rPr>
        <w:t>Clostrіdіum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spp</w:t>
      </w:r>
      <w:proofErr w:type="spellEnd"/>
      <w:r w:rsidRPr="00A66E12">
        <w:rPr>
          <w:i/>
          <w:sz w:val="24"/>
          <w:szCs w:val="24"/>
          <w:lang w:val="uk-UA"/>
        </w:rPr>
        <w:t xml:space="preserve">., </w:t>
      </w:r>
      <w:proofErr w:type="spellStart"/>
      <w:r w:rsidRPr="00A66E12">
        <w:rPr>
          <w:i/>
          <w:sz w:val="24"/>
          <w:szCs w:val="24"/>
          <w:lang w:val="uk-UA"/>
        </w:rPr>
        <w:t>Bacteroіdes</w:t>
      </w:r>
      <w:proofErr w:type="spellEnd"/>
      <w:r w:rsidRPr="00A66E12">
        <w:rPr>
          <w:i/>
          <w:sz w:val="24"/>
          <w:szCs w:val="24"/>
          <w:lang w:val="uk-UA"/>
        </w:rPr>
        <w:t xml:space="preserve"> </w:t>
      </w:r>
      <w:proofErr w:type="spellStart"/>
      <w:r w:rsidRPr="00A66E12">
        <w:rPr>
          <w:i/>
          <w:sz w:val="24"/>
          <w:szCs w:val="24"/>
          <w:lang w:val="uk-UA"/>
        </w:rPr>
        <w:t>bіvіus</w:t>
      </w:r>
      <w:proofErr w:type="spellEnd"/>
      <w:r w:rsidRPr="00A66E12">
        <w:rPr>
          <w:i/>
          <w:sz w:val="24"/>
          <w:szCs w:val="24"/>
          <w:lang w:val="uk-UA"/>
        </w:rPr>
        <w:t xml:space="preserve">, </w:t>
      </w:r>
      <w:r>
        <w:rPr>
          <w:i/>
          <w:sz w:val="24"/>
          <w:szCs w:val="24"/>
          <w:lang w:val="uk-UA"/>
        </w:rPr>
        <w:t xml:space="preserve">                            </w:t>
      </w:r>
      <w:r w:rsidRPr="00A66E12">
        <w:rPr>
          <w:i/>
          <w:sz w:val="24"/>
          <w:szCs w:val="24"/>
          <w:lang w:val="uk-UA"/>
        </w:rPr>
        <w:t xml:space="preserve">B. </w:t>
      </w:r>
      <w:proofErr w:type="spellStart"/>
      <w:r w:rsidRPr="00A66E12">
        <w:rPr>
          <w:i/>
          <w:sz w:val="24"/>
          <w:szCs w:val="24"/>
          <w:lang w:val="uk-UA"/>
        </w:rPr>
        <w:t>melaninogenicus</w:t>
      </w:r>
      <w:proofErr w:type="spellEnd"/>
      <w:r w:rsidRPr="00A66E12">
        <w:rPr>
          <w:sz w:val="24"/>
          <w:szCs w:val="24"/>
          <w:lang w:val="uk-UA"/>
        </w:rPr>
        <w:t>) мікроорганізмів.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 xml:space="preserve"> не гідролізується R-</w:t>
      </w:r>
      <w:proofErr w:type="spellStart"/>
      <w:r w:rsidRPr="00FB3DD3">
        <w:rPr>
          <w:sz w:val="24"/>
          <w:szCs w:val="24"/>
          <w:lang w:val="uk-UA"/>
        </w:rPr>
        <w:t>плазмідними</w:t>
      </w:r>
      <w:proofErr w:type="spellEnd"/>
      <w:r w:rsidRPr="00FB3DD3">
        <w:rPr>
          <w:sz w:val="24"/>
          <w:szCs w:val="24"/>
          <w:lang w:val="uk-UA"/>
        </w:rPr>
        <w:t xml:space="preserve"> </w:t>
      </w:r>
      <w:proofErr w:type="spellStart"/>
      <w:r w:rsidRPr="00FB3DD3">
        <w:rPr>
          <w:sz w:val="24"/>
          <w:szCs w:val="24"/>
          <w:lang w:val="uk-UA"/>
        </w:rPr>
        <w:t>бета-лактамазами</w:t>
      </w:r>
      <w:proofErr w:type="spellEnd"/>
      <w:r w:rsidRPr="00FB3DD3">
        <w:rPr>
          <w:sz w:val="24"/>
          <w:szCs w:val="24"/>
          <w:lang w:val="uk-UA"/>
        </w:rPr>
        <w:t xml:space="preserve"> й більшістю хромосомо-опосередкованими </w:t>
      </w:r>
      <w:proofErr w:type="spellStart"/>
      <w:r w:rsidRPr="00FB3DD3">
        <w:rPr>
          <w:sz w:val="24"/>
          <w:szCs w:val="24"/>
          <w:lang w:val="uk-UA"/>
        </w:rPr>
        <w:t>пеніциліназами</w:t>
      </w:r>
      <w:proofErr w:type="spellEnd"/>
      <w:r w:rsidRPr="00FB3DD3">
        <w:rPr>
          <w:sz w:val="24"/>
          <w:szCs w:val="24"/>
          <w:lang w:val="uk-UA"/>
        </w:rPr>
        <w:t xml:space="preserve"> і </w:t>
      </w:r>
      <w:proofErr w:type="spellStart"/>
      <w:r w:rsidRPr="00FB3DD3">
        <w:rPr>
          <w:sz w:val="24"/>
          <w:szCs w:val="24"/>
          <w:lang w:val="uk-UA"/>
        </w:rPr>
        <w:t>цефалоспориназами</w:t>
      </w:r>
      <w:proofErr w:type="spellEnd"/>
      <w:r w:rsidRPr="00FB3DD3">
        <w:rPr>
          <w:sz w:val="24"/>
          <w:szCs w:val="24"/>
          <w:lang w:val="uk-UA"/>
        </w:rPr>
        <w:t xml:space="preserve">; може впливати на </w:t>
      </w:r>
      <w:proofErr w:type="spellStart"/>
      <w:r w:rsidRPr="00FB3DD3">
        <w:rPr>
          <w:sz w:val="24"/>
          <w:szCs w:val="24"/>
          <w:lang w:val="uk-UA"/>
        </w:rPr>
        <w:t>мультирезистентні</w:t>
      </w:r>
      <w:proofErr w:type="spellEnd"/>
      <w:r w:rsidRPr="00FB3DD3">
        <w:rPr>
          <w:sz w:val="24"/>
          <w:szCs w:val="24"/>
          <w:lang w:val="uk-UA"/>
        </w:rPr>
        <w:t xml:space="preserve"> штами, стійкі до </w:t>
      </w:r>
      <w:proofErr w:type="spellStart"/>
      <w:r w:rsidRPr="00FB3DD3">
        <w:rPr>
          <w:sz w:val="24"/>
          <w:szCs w:val="24"/>
          <w:lang w:val="uk-UA"/>
        </w:rPr>
        <w:t>пеніцилінів</w:t>
      </w:r>
      <w:proofErr w:type="spellEnd"/>
      <w:r w:rsidRPr="00FB3DD3">
        <w:rPr>
          <w:sz w:val="24"/>
          <w:szCs w:val="24"/>
          <w:lang w:val="uk-UA"/>
        </w:rPr>
        <w:t xml:space="preserve"> і </w:t>
      </w:r>
      <w:proofErr w:type="spellStart"/>
      <w:r w:rsidRPr="00FB3DD3">
        <w:rPr>
          <w:sz w:val="24"/>
          <w:szCs w:val="24"/>
          <w:lang w:val="uk-UA"/>
        </w:rPr>
        <w:t>цефалоспоринів</w:t>
      </w:r>
      <w:proofErr w:type="spellEnd"/>
      <w:r w:rsidRPr="00FB3DD3">
        <w:rPr>
          <w:sz w:val="24"/>
          <w:szCs w:val="24"/>
          <w:lang w:val="uk-UA"/>
        </w:rPr>
        <w:t xml:space="preserve"> першого та другого покоління та </w:t>
      </w:r>
      <w:proofErr w:type="spellStart"/>
      <w:r w:rsidRPr="00FB3DD3">
        <w:rPr>
          <w:sz w:val="24"/>
          <w:szCs w:val="24"/>
          <w:lang w:val="uk-UA"/>
        </w:rPr>
        <w:t>аміноглікозидів</w:t>
      </w:r>
      <w:proofErr w:type="spellEnd"/>
      <w:r w:rsidRPr="00FB3DD3">
        <w:rPr>
          <w:sz w:val="24"/>
          <w:szCs w:val="24"/>
          <w:lang w:val="uk-UA"/>
        </w:rPr>
        <w:t xml:space="preserve">. Набута резистентність деяких штамів бактерій зумовлена продукуванням </w:t>
      </w:r>
      <w:proofErr w:type="spellStart"/>
      <w:r w:rsidRPr="00FB3DD3">
        <w:rPr>
          <w:sz w:val="24"/>
          <w:szCs w:val="24"/>
          <w:lang w:val="uk-UA"/>
        </w:rPr>
        <w:t>бета-лактамази</w:t>
      </w:r>
      <w:proofErr w:type="spellEnd"/>
      <w:r w:rsidRPr="00FB3DD3">
        <w:rPr>
          <w:sz w:val="24"/>
          <w:szCs w:val="24"/>
          <w:lang w:val="uk-UA"/>
        </w:rPr>
        <w:t xml:space="preserve">, що </w:t>
      </w:r>
      <w:proofErr w:type="spellStart"/>
      <w:r w:rsidRPr="00FB3DD3">
        <w:rPr>
          <w:sz w:val="24"/>
          <w:szCs w:val="24"/>
          <w:lang w:val="uk-UA"/>
        </w:rPr>
        <w:t>інактивує</w:t>
      </w:r>
      <w:proofErr w:type="spellEnd"/>
      <w:r w:rsidRPr="00FB3DD3">
        <w:rPr>
          <w:sz w:val="24"/>
          <w:szCs w:val="24"/>
          <w:lang w:val="uk-UA"/>
        </w:rPr>
        <w:t xml:space="preserve"> </w:t>
      </w: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 xml:space="preserve"> після </w:t>
      </w:r>
      <w:proofErr w:type="spellStart"/>
      <w:r w:rsidRPr="00FB3DD3">
        <w:rPr>
          <w:sz w:val="24"/>
          <w:szCs w:val="24"/>
          <w:lang w:val="uk-UA"/>
        </w:rPr>
        <w:t>парентерального</w:t>
      </w:r>
      <w:proofErr w:type="spellEnd"/>
      <w:r w:rsidRPr="00FB3DD3">
        <w:rPr>
          <w:sz w:val="24"/>
          <w:szCs w:val="24"/>
          <w:lang w:val="uk-UA"/>
        </w:rPr>
        <w:t xml:space="preserve"> введення швидко проникає у більшість органів і тканин організму, період його </w:t>
      </w:r>
      <w:proofErr w:type="spellStart"/>
      <w:r w:rsidRPr="00FB3DD3">
        <w:rPr>
          <w:sz w:val="24"/>
          <w:szCs w:val="24"/>
          <w:lang w:val="uk-UA"/>
        </w:rPr>
        <w:t>напіввиведення</w:t>
      </w:r>
      <w:proofErr w:type="spellEnd"/>
      <w:r w:rsidRPr="00FB3DD3">
        <w:rPr>
          <w:sz w:val="24"/>
          <w:szCs w:val="24"/>
          <w:lang w:val="uk-UA"/>
        </w:rPr>
        <w:t xml:space="preserve"> у котів після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та внутрішньовенного застосування становить приблизно 2 години, у собак – приблизно 1 годину після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та внутрішньовенного застосування. 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Біодоступність</w:t>
      </w:r>
      <w:proofErr w:type="spellEnd"/>
      <w:r w:rsidRPr="00FB3DD3">
        <w:rPr>
          <w:sz w:val="24"/>
          <w:szCs w:val="24"/>
          <w:lang w:val="uk-UA"/>
        </w:rPr>
        <w:t xml:space="preserve">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собак за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введення становить близько 100%. Після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введення максимальна концентрація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плазмі крові собак визначається через 30 хвилин і в середньому становить 0,115 мг/л. 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Біодоступність</w:t>
      </w:r>
      <w:proofErr w:type="spellEnd"/>
      <w:r w:rsidRPr="00FB3DD3">
        <w:rPr>
          <w:sz w:val="24"/>
          <w:szCs w:val="24"/>
          <w:lang w:val="uk-UA"/>
        </w:rPr>
        <w:t xml:space="preserve">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котів за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введення в середньому становить 85%.  Після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введення максимальна концентрація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плазмі крові котів визначається через 20 </w:t>
      </w:r>
      <w:proofErr w:type="spellStart"/>
      <w:r w:rsidRPr="00FB3DD3">
        <w:rPr>
          <w:sz w:val="24"/>
          <w:szCs w:val="24"/>
          <w:lang w:val="uk-UA"/>
        </w:rPr>
        <w:t>хв</w:t>
      </w:r>
      <w:proofErr w:type="spellEnd"/>
      <w:r w:rsidRPr="00FB3DD3">
        <w:rPr>
          <w:sz w:val="24"/>
          <w:szCs w:val="24"/>
          <w:lang w:val="uk-UA"/>
        </w:rPr>
        <w:t xml:space="preserve"> і становить в середньому 0,055 мг/л. 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 xml:space="preserve"> </w:t>
      </w:r>
      <w:proofErr w:type="spellStart"/>
      <w:r w:rsidRPr="00FB3DD3">
        <w:rPr>
          <w:sz w:val="24"/>
          <w:szCs w:val="24"/>
          <w:lang w:val="uk-UA"/>
        </w:rPr>
        <w:t>зв</w:t>
      </w:r>
      <w:proofErr w:type="spellEnd"/>
      <w:r w:rsidRPr="00FB3DD3">
        <w:rPr>
          <w:sz w:val="24"/>
          <w:szCs w:val="24"/>
        </w:rPr>
        <w:t>`</w:t>
      </w:r>
      <w:proofErr w:type="spellStart"/>
      <w:r w:rsidRPr="00FB3DD3">
        <w:rPr>
          <w:sz w:val="24"/>
          <w:szCs w:val="24"/>
          <w:lang w:val="uk-UA"/>
        </w:rPr>
        <w:t>язується</w:t>
      </w:r>
      <w:proofErr w:type="spellEnd"/>
      <w:r w:rsidRPr="00FB3DD3">
        <w:rPr>
          <w:sz w:val="24"/>
          <w:szCs w:val="24"/>
          <w:lang w:val="uk-UA"/>
        </w:rPr>
        <w:t xml:space="preserve"> з </w:t>
      </w:r>
      <w:proofErr w:type="spellStart"/>
      <w:r w:rsidRPr="00FB3DD3">
        <w:rPr>
          <w:sz w:val="24"/>
          <w:szCs w:val="24"/>
          <w:lang w:val="uk-UA"/>
        </w:rPr>
        <w:t>альбумінатами</w:t>
      </w:r>
      <w:proofErr w:type="spellEnd"/>
      <w:r w:rsidRPr="00FB3DD3">
        <w:rPr>
          <w:sz w:val="24"/>
          <w:szCs w:val="24"/>
          <w:lang w:val="uk-UA"/>
        </w:rPr>
        <w:t xml:space="preserve"> плазми крові (85-95%). З підвищенням концентрації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крові зв`язок з білками зменшується. Здатність </w:t>
      </w:r>
      <w:proofErr w:type="spellStart"/>
      <w:r w:rsidRPr="00FB3DD3">
        <w:rPr>
          <w:sz w:val="24"/>
          <w:szCs w:val="24"/>
          <w:lang w:val="uk-UA"/>
        </w:rPr>
        <w:t>зв</w:t>
      </w:r>
      <w:proofErr w:type="spellEnd"/>
      <w:r w:rsidRPr="00FB3DD3">
        <w:rPr>
          <w:sz w:val="24"/>
          <w:szCs w:val="24"/>
        </w:rPr>
        <w:t>`</w:t>
      </w:r>
      <w:proofErr w:type="spellStart"/>
      <w:r w:rsidRPr="00FB3DD3">
        <w:rPr>
          <w:sz w:val="24"/>
          <w:szCs w:val="24"/>
          <w:lang w:val="uk-UA"/>
        </w:rPr>
        <w:t>язуватися</w:t>
      </w:r>
      <w:proofErr w:type="spellEnd"/>
      <w:r w:rsidRPr="00FB3DD3">
        <w:rPr>
          <w:sz w:val="24"/>
          <w:szCs w:val="24"/>
          <w:lang w:val="uk-UA"/>
        </w:rPr>
        <w:t xml:space="preserve"> з білками суттєво варіює залежно від виду тварин.  </w:t>
      </w:r>
    </w:p>
    <w:p w:rsidR="001C551A" w:rsidRPr="00FB3DD3" w:rsidRDefault="001C551A" w:rsidP="001C551A">
      <w:pPr>
        <w:tabs>
          <w:tab w:val="left" w:pos="330"/>
        </w:tabs>
        <w:ind w:firstLine="567"/>
        <w:jc w:val="both"/>
        <w:rPr>
          <w:b/>
          <w:sz w:val="24"/>
          <w:szCs w:val="24"/>
          <w:lang w:val="uk-UA"/>
        </w:rPr>
      </w:pPr>
      <w:r w:rsidRPr="00FB3DD3">
        <w:rPr>
          <w:b/>
          <w:sz w:val="24"/>
          <w:szCs w:val="24"/>
          <w:lang w:val="uk-UA"/>
        </w:rPr>
        <w:t>5. Клінічні особливості</w:t>
      </w:r>
    </w:p>
    <w:p w:rsidR="001C551A" w:rsidRPr="00FB3DD3" w:rsidRDefault="001C551A" w:rsidP="001C551A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FB3DD3">
        <w:rPr>
          <w:b/>
          <w:sz w:val="24"/>
          <w:szCs w:val="24"/>
          <w:lang w:val="uk-UA"/>
        </w:rPr>
        <w:t>5.1 Вид тварин</w:t>
      </w:r>
    </w:p>
    <w:p w:rsidR="001C551A" w:rsidRPr="00FB3DD3" w:rsidRDefault="001C551A" w:rsidP="001C551A">
      <w:pPr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Собаки, коти.</w:t>
      </w:r>
    </w:p>
    <w:p w:rsidR="001C551A" w:rsidRPr="00FB3DD3" w:rsidRDefault="001C551A" w:rsidP="001C551A">
      <w:pPr>
        <w:pStyle w:val="31"/>
        <w:ind w:firstLine="567"/>
        <w:rPr>
          <w:szCs w:val="24"/>
        </w:rPr>
      </w:pPr>
      <w:r w:rsidRPr="00FB3DD3">
        <w:rPr>
          <w:szCs w:val="24"/>
        </w:rPr>
        <w:t>5.2 Показання до застосування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Лікування собак та котів, хворих на септицемію, артрит, перитоніт, а також при захворюваннях травного каналу, органів дихання та сечовивідних шляхів, вух. Для попередження післяопераційних ускладнень, що спричинені мікроорганізмами, чутливими до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ind w:firstLine="567"/>
        <w:jc w:val="both"/>
        <w:rPr>
          <w:sz w:val="24"/>
          <w:szCs w:val="24"/>
        </w:rPr>
      </w:pPr>
      <w:r w:rsidRPr="00FB3DD3">
        <w:rPr>
          <w:b/>
          <w:sz w:val="24"/>
          <w:szCs w:val="24"/>
          <w:lang w:val="uk-UA"/>
        </w:rPr>
        <w:t>5.3 Протипоказання</w:t>
      </w:r>
    </w:p>
    <w:p w:rsidR="001C551A" w:rsidRPr="00FB3DD3" w:rsidRDefault="001C551A" w:rsidP="001C551A">
      <w:pPr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Підвищена чутливість до антибіотиків </w:t>
      </w:r>
      <w:proofErr w:type="spellStart"/>
      <w:r w:rsidRPr="00FB3DD3">
        <w:rPr>
          <w:sz w:val="24"/>
          <w:szCs w:val="24"/>
          <w:lang w:val="uk-UA"/>
        </w:rPr>
        <w:t>пеніцилінового</w:t>
      </w:r>
      <w:proofErr w:type="spellEnd"/>
      <w:r w:rsidRPr="00FB3DD3">
        <w:rPr>
          <w:sz w:val="24"/>
          <w:szCs w:val="24"/>
          <w:lang w:val="uk-UA"/>
        </w:rPr>
        <w:t xml:space="preserve"> та </w:t>
      </w:r>
      <w:proofErr w:type="spellStart"/>
      <w:r w:rsidRPr="00FB3DD3">
        <w:rPr>
          <w:sz w:val="24"/>
          <w:szCs w:val="24"/>
          <w:lang w:val="uk-UA"/>
        </w:rPr>
        <w:t>цефалоспоринового</w:t>
      </w:r>
      <w:proofErr w:type="spellEnd"/>
      <w:r w:rsidRPr="00FB3DD3">
        <w:rPr>
          <w:sz w:val="24"/>
          <w:szCs w:val="24"/>
          <w:lang w:val="uk-UA"/>
        </w:rPr>
        <w:t xml:space="preserve"> ряду.</w:t>
      </w:r>
    </w:p>
    <w:p w:rsidR="001C551A" w:rsidRPr="00FB3DD3" w:rsidRDefault="001C551A" w:rsidP="001C551A">
      <w:pPr>
        <w:jc w:val="right"/>
        <w:rPr>
          <w:sz w:val="24"/>
          <w:szCs w:val="24"/>
          <w:lang w:val="uk-UA"/>
        </w:rPr>
      </w:pPr>
    </w:p>
    <w:p w:rsidR="001C551A" w:rsidRPr="00FB3DD3" w:rsidRDefault="001C551A" w:rsidP="001C551A">
      <w:pPr>
        <w:jc w:val="right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Продовження додатку 1</w:t>
      </w:r>
    </w:p>
    <w:p w:rsidR="001C551A" w:rsidRPr="00FB3DD3" w:rsidRDefault="001C551A" w:rsidP="001C551A">
      <w:pPr>
        <w:jc w:val="right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до реєстраційного посвідчення АВ-00937-01-10</w:t>
      </w:r>
    </w:p>
    <w:p w:rsidR="001C551A" w:rsidRPr="00FB3DD3" w:rsidRDefault="001C551A" w:rsidP="001C551A">
      <w:pPr>
        <w:ind w:firstLine="567"/>
        <w:jc w:val="both"/>
        <w:rPr>
          <w:b/>
          <w:sz w:val="24"/>
          <w:szCs w:val="24"/>
          <w:lang w:val="uk-UA"/>
        </w:rPr>
      </w:pPr>
    </w:p>
    <w:p w:rsidR="001C551A" w:rsidRPr="00FB3DD3" w:rsidRDefault="001C551A" w:rsidP="001C551A">
      <w:pPr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Не застосовувати тваринам з нирковою й печінковою </w:t>
      </w:r>
      <w:proofErr w:type="spellStart"/>
      <w:r w:rsidRPr="00FB3DD3">
        <w:rPr>
          <w:sz w:val="24"/>
          <w:szCs w:val="24"/>
          <w:lang w:val="uk-UA"/>
        </w:rPr>
        <w:t>недостатностями</w:t>
      </w:r>
      <w:proofErr w:type="spellEnd"/>
      <w:r w:rsidRPr="00FB3DD3">
        <w:rPr>
          <w:sz w:val="24"/>
          <w:szCs w:val="24"/>
          <w:lang w:val="uk-UA"/>
        </w:rPr>
        <w:t xml:space="preserve"> (небезпека уповільненого виведення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, утворення конкрементів та інших порушень обміну речовин), а також з наявною кровотечею (може збільшувати </w:t>
      </w:r>
      <w:proofErr w:type="spellStart"/>
      <w:r w:rsidRPr="00FB3DD3">
        <w:rPr>
          <w:sz w:val="24"/>
          <w:szCs w:val="24"/>
          <w:lang w:val="uk-UA"/>
        </w:rPr>
        <w:t>протромбіновий</w:t>
      </w:r>
      <w:proofErr w:type="spellEnd"/>
      <w:r w:rsidRPr="00FB3DD3">
        <w:rPr>
          <w:sz w:val="24"/>
          <w:szCs w:val="24"/>
          <w:lang w:val="uk-UA"/>
        </w:rPr>
        <w:t xml:space="preserve"> час). </w:t>
      </w:r>
    </w:p>
    <w:p w:rsidR="001C551A" w:rsidRPr="00FB3DD3" w:rsidRDefault="001C551A" w:rsidP="001C551A">
      <w:pPr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Не застосовувати тваринам у період вагітності.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b/>
          <w:sz w:val="24"/>
          <w:szCs w:val="24"/>
          <w:lang w:val="uk-UA"/>
        </w:rPr>
        <w:t>5.4 Побічна дія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Можлива тимчасова припухлість у місці введення препарату, яка зникає протягом кількох діб після останнього застосування препарату. Можливе виникнення алергічних реакцій: висипання, дуже рідко свербіж, гарячка та озноб.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При довготривалому застосуванні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високих дозах можуть спостерігатися зміни загальної картини крові (лейкопенія, </w:t>
      </w:r>
      <w:proofErr w:type="spellStart"/>
      <w:r w:rsidRPr="00FB3DD3">
        <w:rPr>
          <w:sz w:val="24"/>
          <w:szCs w:val="24"/>
          <w:lang w:val="uk-UA"/>
        </w:rPr>
        <w:t>нейтропенія</w:t>
      </w:r>
      <w:proofErr w:type="spellEnd"/>
      <w:r w:rsidRPr="00FB3DD3">
        <w:rPr>
          <w:sz w:val="24"/>
          <w:szCs w:val="24"/>
          <w:lang w:val="uk-UA"/>
        </w:rPr>
        <w:t xml:space="preserve">, </w:t>
      </w:r>
      <w:proofErr w:type="spellStart"/>
      <w:r w:rsidRPr="00FB3DD3">
        <w:rPr>
          <w:sz w:val="24"/>
          <w:szCs w:val="24"/>
          <w:lang w:val="uk-UA"/>
        </w:rPr>
        <w:t>тромбоцитопенія</w:t>
      </w:r>
      <w:proofErr w:type="spellEnd"/>
      <w:r w:rsidRPr="00FB3DD3">
        <w:rPr>
          <w:sz w:val="24"/>
          <w:szCs w:val="24"/>
          <w:lang w:val="uk-UA"/>
        </w:rPr>
        <w:t>, гемолітична анемія) та діарея у собак.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FB3DD3">
        <w:rPr>
          <w:b/>
          <w:sz w:val="24"/>
          <w:szCs w:val="24"/>
          <w:lang w:val="uk-UA"/>
        </w:rPr>
        <w:t>5.5 Особливі застереження при використанні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Перед застосуванням препарату слід провести тест на чутливість мікроорганізмів-збудників захворювання до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Перед початком терапії необхідно виключити наявність у тварини підвищеної чутливості до антибіотика та до </w:t>
      </w:r>
      <w:proofErr w:type="spellStart"/>
      <w:r w:rsidRPr="00FB3DD3">
        <w:rPr>
          <w:sz w:val="24"/>
          <w:szCs w:val="24"/>
          <w:lang w:val="uk-UA"/>
        </w:rPr>
        <w:t>лідокаїну</w:t>
      </w:r>
      <w:proofErr w:type="spellEnd"/>
      <w:r w:rsidRPr="00FB3DD3">
        <w:rPr>
          <w:sz w:val="24"/>
          <w:szCs w:val="24"/>
          <w:lang w:val="uk-UA"/>
        </w:rPr>
        <w:t xml:space="preserve"> (у разі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способу введення), зробивши шкірну пробу. При застосуванні котам не слід розчиняти препарат </w:t>
      </w:r>
      <w:proofErr w:type="spellStart"/>
      <w:r w:rsidRPr="00FB3DD3">
        <w:rPr>
          <w:sz w:val="24"/>
          <w:szCs w:val="24"/>
          <w:lang w:val="uk-UA"/>
        </w:rPr>
        <w:t>лідокаїном</w:t>
      </w:r>
      <w:proofErr w:type="spellEnd"/>
      <w:r w:rsidRPr="00FB3DD3">
        <w:rPr>
          <w:sz w:val="24"/>
          <w:szCs w:val="24"/>
          <w:lang w:val="uk-UA"/>
        </w:rPr>
        <w:t>!</w:t>
      </w:r>
    </w:p>
    <w:p w:rsidR="001C551A" w:rsidRPr="00FB3DD3" w:rsidRDefault="001C551A" w:rsidP="001C551A">
      <w:pPr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Можлива перехресна алергія на </w:t>
      </w:r>
      <w:proofErr w:type="spellStart"/>
      <w:r w:rsidRPr="00FB3DD3">
        <w:rPr>
          <w:sz w:val="24"/>
          <w:szCs w:val="24"/>
          <w:lang w:val="uk-UA"/>
        </w:rPr>
        <w:t>пеніциліни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Застосування препарату, як і інших антибіотиків широкого спектру дії, може змінювати нормальну мікрофлору в кишечнику, що провокує надмірний ріст грибів роду </w:t>
      </w:r>
      <w:proofErr w:type="spellStart"/>
      <w:r w:rsidRPr="00FB3DD3">
        <w:rPr>
          <w:i/>
          <w:sz w:val="24"/>
          <w:szCs w:val="24"/>
          <w:lang w:val="uk-UA"/>
        </w:rPr>
        <w:t>Candida</w:t>
      </w:r>
      <w:proofErr w:type="spellEnd"/>
      <w:r w:rsidRPr="00FB3DD3">
        <w:rPr>
          <w:sz w:val="24"/>
          <w:szCs w:val="24"/>
          <w:lang w:val="uk-UA"/>
        </w:rPr>
        <w:t xml:space="preserve">. Для профілактики </w:t>
      </w:r>
      <w:proofErr w:type="spellStart"/>
      <w:r w:rsidRPr="00FB3DD3">
        <w:rPr>
          <w:sz w:val="24"/>
          <w:szCs w:val="24"/>
          <w:lang w:val="uk-UA"/>
        </w:rPr>
        <w:t>кандідозу</w:t>
      </w:r>
      <w:proofErr w:type="spellEnd"/>
      <w:r w:rsidRPr="00FB3DD3">
        <w:rPr>
          <w:sz w:val="24"/>
          <w:szCs w:val="24"/>
          <w:lang w:val="uk-UA"/>
        </w:rPr>
        <w:t xml:space="preserve"> слід застосовувати </w:t>
      </w:r>
      <w:proofErr w:type="spellStart"/>
      <w:r w:rsidRPr="00FB3DD3">
        <w:rPr>
          <w:sz w:val="24"/>
          <w:szCs w:val="24"/>
          <w:lang w:val="uk-UA"/>
        </w:rPr>
        <w:t>пробіотики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Порушення синтезу вітаміну К або низький його рівень в організмі (наприклад, хронічні захворювання печінки та неправильне харчування) можуть потребувати моніторингу </w:t>
      </w:r>
      <w:proofErr w:type="spellStart"/>
      <w:r w:rsidRPr="00FB3DD3">
        <w:rPr>
          <w:sz w:val="24"/>
          <w:szCs w:val="24"/>
          <w:lang w:val="uk-UA"/>
        </w:rPr>
        <w:t>протромбінового</w:t>
      </w:r>
      <w:proofErr w:type="spellEnd"/>
      <w:r w:rsidRPr="00FB3DD3">
        <w:rPr>
          <w:sz w:val="24"/>
          <w:szCs w:val="24"/>
          <w:lang w:val="uk-UA"/>
        </w:rPr>
        <w:t xml:space="preserve"> часу протягом періоду лікування </w:t>
      </w:r>
      <w:proofErr w:type="spellStart"/>
      <w:r w:rsidRPr="00FB3DD3">
        <w:rPr>
          <w:sz w:val="24"/>
          <w:szCs w:val="24"/>
          <w:lang w:val="uk-UA"/>
        </w:rPr>
        <w:t>цефтріаксоном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Високі дози можуть викликати електролітний дисбаланс, особливо у дрібних видів тварин, з порушеннями електролітного обміну, захворюваннями нирок або серця.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Тривале застосування препарату може сприяти розвитку </w:t>
      </w:r>
      <w:proofErr w:type="spellStart"/>
      <w:r w:rsidRPr="00FB3DD3">
        <w:rPr>
          <w:sz w:val="24"/>
          <w:szCs w:val="24"/>
          <w:lang w:val="uk-UA"/>
        </w:rPr>
        <w:t>антибіотикорезистентності</w:t>
      </w:r>
      <w:proofErr w:type="spellEnd"/>
      <w:r w:rsidRPr="00FB3DD3">
        <w:rPr>
          <w:sz w:val="24"/>
          <w:szCs w:val="24"/>
          <w:lang w:val="uk-UA"/>
        </w:rPr>
        <w:t xml:space="preserve"> у чутливих до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мікроорганізмів. Якщо під час терапії виникає </w:t>
      </w:r>
      <w:proofErr w:type="spellStart"/>
      <w:r w:rsidRPr="00FB3DD3">
        <w:rPr>
          <w:sz w:val="24"/>
          <w:szCs w:val="24"/>
          <w:lang w:val="uk-UA"/>
        </w:rPr>
        <w:t>суперінфекція</w:t>
      </w:r>
      <w:proofErr w:type="spellEnd"/>
      <w:r w:rsidRPr="00FB3DD3">
        <w:rPr>
          <w:sz w:val="24"/>
          <w:szCs w:val="24"/>
          <w:lang w:val="uk-UA"/>
        </w:rPr>
        <w:t xml:space="preserve">, слід вжити відповідних заходів: припинити введення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, застосувати дієві антибактеріальні препарати (після визначення чутливості до них мікроорганізмів). Для запобігання розвитку </w:t>
      </w:r>
      <w:proofErr w:type="spellStart"/>
      <w:r w:rsidRPr="00FB3DD3">
        <w:rPr>
          <w:sz w:val="24"/>
          <w:szCs w:val="24"/>
          <w:lang w:val="uk-UA"/>
        </w:rPr>
        <w:t>антибіотикорезистентності</w:t>
      </w:r>
      <w:proofErr w:type="spellEnd"/>
      <w:r w:rsidRPr="00FB3DD3">
        <w:rPr>
          <w:sz w:val="24"/>
          <w:szCs w:val="24"/>
          <w:lang w:val="uk-UA"/>
        </w:rPr>
        <w:t>, необхідно враховувати інформацію, що надана в короткій характеристиці препарату (доза, кратність, термін застосування,умови зберігання).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b/>
          <w:sz w:val="24"/>
          <w:szCs w:val="24"/>
          <w:lang w:val="uk-UA"/>
        </w:rPr>
        <w:t>5.6 Застосування під час вагітності, лактації, несучості</w:t>
      </w:r>
      <w:r w:rsidRPr="00FB3DD3">
        <w:rPr>
          <w:sz w:val="24"/>
          <w:szCs w:val="24"/>
          <w:lang w:val="uk-UA"/>
        </w:rPr>
        <w:t xml:space="preserve"> 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Не застосовувати тваринам у період вагітності. 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Безпечність застосування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у період лактації не вивчалась.</w:t>
      </w:r>
      <w:r w:rsidRPr="00FB3DD3">
        <w:rPr>
          <w:sz w:val="24"/>
          <w:szCs w:val="24"/>
          <w:lang w:val="uk-UA" w:eastAsia="uk-UA" w:bidi="uk-UA"/>
        </w:rPr>
        <w:t xml:space="preserve"> За відсутності досліджень у цільових видів тварин препарат призначають відповідно до оцінки користі/ризику, проведеного лікарем ветеринарної медицини.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b/>
          <w:sz w:val="24"/>
          <w:szCs w:val="24"/>
          <w:lang w:val="uk-UA"/>
        </w:rPr>
      </w:pPr>
      <w:r w:rsidRPr="00FB3DD3">
        <w:rPr>
          <w:b/>
          <w:sz w:val="24"/>
          <w:szCs w:val="24"/>
          <w:lang w:val="uk-UA"/>
        </w:rPr>
        <w:t>5.7 Взаємодія з іншими засобами та інші форми взаємодії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 xml:space="preserve"> розчиняють водою для ін’єкцій та 1% розчином </w:t>
      </w:r>
      <w:proofErr w:type="spellStart"/>
      <w:r w:rsidRPr="00FB3DD3">
        <w:rPr>
          <w:sz w:val="24"/>
          <w:szCs w:val="24"/>
          <w:lang w:val="uk-UA"/>
        </w:rPr>
        <w:t>лідокаїну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 xml:space="preserve"> пригнічує кишкову мікрофлору, перешкоджає синтезу вітаміну К. Тому при одночасному прийомі з препаратами, що пригнічують агрегацію тромбоцитів (</w:t>
      </w:r>
      <w:proofErr w:type="spellStart"/>
      <w:r w:rsidRPr="00FB3DD3">
        <w:rPr>
          <w:sz w:val="24"/>
          <w:szCs w:val="24"/>
          <w:lang w:val="uk-UA"/>
        </w:rPr>
        <w:t>нестероїдні</w:t>
      </w:r>
      <w:proofErr w:type="spellEnd"/>
      <w:r w:rsidRPr="00FB3DD3">
        <w:rPr>
          <w:sz w:val="24"/>
          <w:szCs w:val="24"/>
          <w:lang w:val="uk-UA"/>
        </w:rPr>
        <w:t xml:space="preserve"> протизапальні засоби), підвищується ризик виникнення кровотеч.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При одночасному прийомі з </w:t>
      </w:r>
      <w:proofErr w:type="spellStart"/>
      <w:r w:rsidRPr="00FB3DD3">
        <w:rPr>
          <w:sz w:val="24"/>
          <w:szCs w:val="24"/>
          <w:lang w:val="uk-UA"/>
        </w:rPr>
        <w:t>діуретиками</w:t>
      </w:r>
      <w:proofErr w:type="spellEnd"/>
      <w:r w:rsidRPr="00FB3DD3">
        <w:rPr>
          <w:sz w:val="24"/>
          <w:szCs w:val="24"/>
          <w:lang w:val="uk-UA"/>
        </w:rPr>
        <w:t xml:space="preserve"> підвищується ризик розвитку </w:t>
      </w:r>
      <w:proofErr w:type="spellStart"/>
      <w:r w:rsidRPr="00FB3DD3">
        <w:rPr>
          <w:sz w:val="24"/>
          <w:szCs w:val="24"/>
          <w:lang w:val="uk-UA"/>
        </w:rPr>
        <w:t>нефротоксичної</w:t>
      </w:r>
      <w:proofErr w:type="spellEnd"/>
      <w:r w:rsidRPr="00FB3DD3">
        <w:rPr>
          <w:sz w:val="24"/>
          <w:szCs w:val="24"/>
          <w:lang w:val="uk-UA"/>
        </w:rPr>
        <w:t xml:space="preserve"> дії.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Аміноглікозиди</w:t>
      </w:r>
      <w:proofErr w:type="spellEnd"/>
      <w:r w:rsidRPr="00FB3DD3">
        <w:rPr>
          <w:sz w:val="24"/>
          <w:szCs w:val="24"/>
          <w:lang w:val="uk-UA"/>
        </w:rPr>
        <w:t xml:space="preserve"> та </w:t>
      </w:r>
      <w:proofErr w:type="spellStart"/>
      <w:r w:rsidRPr="00FB3DD3">
        <w:rPr>
          <w:sz w:val="24"/>
          <w:szCs w:val="24"/>
          <w:lang w:val="uk-UA"/>
        </w:rPr>
        <w:t>цефтріаксон</w:t>
      </w:r>
      <w:proofErr w:type="spellEnd"/>
      <w:r w:rsidRPr="00FB3DD3">
        <w:rPr>
          <w:sz w:val="24"/>
          <w:szCs w:val="24"/>
          <w:lang w:val="uk-UA"/>
        </w:rPr>
        <w:t xml:space="preserve"> при одночасному використанні збільшують ризик ураження нирок, відбувається блокада </w:t>
      </w:r>
      <w:proofErr w:type="spellStart"/>
      <w:r w:rsidRPr="00FB3DD3">
        <w:rPr>
          <w:sz w:val="24"/>
          <w:szCs w:val="24"/>
          <w:lang w:val="uk-UA"/>
        </w:rPr>
        <w:t>канальцієвої</w:t>
      </w:r>
      <w:proofErr w:type="spellEnd"/>
      <w:r w:rsidRPr="00FB3DD3">
        <w:rPr>
          <w:sz w:val="24"/>
          <w:szCs w:val="24"/>
          <w:lang w:val="uk-UA"/>
        </w:rPr>
        <w:t xml:space="preserve"> секреції, що збільшує концентрацію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в крові, сповільнює його виведення та підвищує ризик розвитку токсичних реакцій.</w:t>
      </w:r>
    </w:p>
    <w:p w:rsidR="001C551A" w:rsidRPr="00FB3DD3" w:rsidRDefault="001C551A" w:rsidP="001C551A">
      <w:pPr>
        <w:ind w:firstLine="567"/>
        <w:jc w:val="both"/>
        <w:rPr>
          <w:b/>
          <w:sz w:val="24"/>
          <w:szCs w:val="24"/>
          <w:lang w:val="uk-UA"/>
        </w:rPr>
      </w:pPr>
      <w:r w:rsidRPr="00FB3DD3">
        <w:rPr>
          <w:b/>
          <w:sz w:val="24"/>
          <w:szCs w:val="24"/>
          <w:lang w:val="uk-UA"/>
        </w:rPr>
        <w:t xml:space="preserve">5.8 </w:t>
      </w:r>
      <w:r w:rsidRPr="00FB3DD3">
        <w:rPr>
          <w:b/>
          <w:sz w:val="24"/>
          <w:szCs w:val="24"/>
          <w:lang w:val="uk-UA" w:eastAsia="uk-UA"/>
        </w:rPr>
        <w:t>Дози і способи введення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FB3DD3">
        <w:rPr>
          <w:sz w:val="24"/>
          <w:szCs w:val="24"/>
          <w:lang w:val="uk-UA"/>
        </w:rPr>
        <w:t>Внутрішньом’язово</w:t>
      </w:r>
      <w:proofErr w:type="spellEnd"/>
      <w:r w:rsidRPr="00FB3DD3">
        <w:rPr>
          <w:sz w:val="24"/>
          <w:szCs w:val="24"/>
          <w:lang w:val="uk-UA"/>
        </w:rPr>
        <w:t xml:space="preserve"> або внутрішньовенно у дозі 20-40 мг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на 1 кг маси тіла тварини на добу. За необхідності кратність застосування можна збільшити до 2 разів на добу із </w:t>
      </w:r>
      <w:r w:rsidRPr="00FB3DD3">
        <w:rPr>
          <w:sz w:val="24"/>
          <w:szCs w:val="24"/>
          <w:lang w:val="uk-UA"/>
        </w:rPr>
        <w:lastRenderedPageBreak/>
        <w:t xml:space="preserve">дозуванням 10-20 мг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 на 1 кг маси тіла. Препарат застосовують упродовж від 5 до 10 діб залежно від форми й важкості захворювання.</w:t>
      </w:r>
    </w:p>
    <w:p w:rsidR="001C551A" w:rsidRPr="00FB3DD3" w:rsidRDefault="001C551A" w:rsidP="001C551A">
      <w:pPr>
        <w:jc w:val="right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Продовження додатку 1</w:t>
      </w:r>
    </w:p>
    <w:p w:rsidR="001C551A" w:rsidRPr="00FB3DD3" w:rsidRDefault="001C551A" w:rsidP="001C551A">
      <w:pPr>
        <w:jc w:val="right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>до реєстраційного посвідчення АВ-00937-01-10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Для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введення собакам вміст одного флакону розчиняють у 3,6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1% розчину </w:t>
      </w:r>
      <w:proofErr w:type="spellStart"/>
      <w:r w:rsidRPr="00FB3DD3">
        <w:rPr>
          <w:sz w:val="24"/>
          <w:szCs w:val="24"/>
          <w:lang w:val="uk-UA"/>
        </w:rPr>
        <w:t>лідокаїну</w:t>
      </w:r>
      <w:proofErr w:type="spellEnd"/>
      <w:r w:rsidRPr="00FB3DD3">
        <w:rPr>
          <w:sz w:val="24"/>
          <w:szCs w:val="24"/>
          <w:lang w:val="uk-UA"/>
        </w:rPr>
        <w:t xml:space="preserve"> чи 0,25-0,5% розчину новокаїну або у 3,6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стерильної води для ін`єкцій. Таким чином,</w:t>
      </w:r>
      <w:r w:rsidRPr="00FB3DD3">
        <w:rPr>
          <w:sz w:val="24"/>
          <w:szCs w:val="24"/>
        </w:rPr>
        <w:t xml:space="preserve"> </w:t>
      </w:r>
      <w:r w:rsidRPr="00FB3DD3">
        <w:rPr>
          <w:sz w:val="24"/>
          <w:szCs w:val="24"/>
          <w:lang w:val="uk-UA"/>
        </w:rPr>
        <w:t xml:space="preserve">1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приготованого розчину містить 250 мг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b/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Для </w:t>
      </w:r>
      <w:proofErr w:type="spellStart"/>
      <w:r w:rsidRPr="00FB3DD3">
        <w:rPr>
          <w:sz w:val="24"/>
          <w:szCs w:val="24"/>
          <w:lang w:val="uk-UA"/>
        </w:rPr>
        <w:t>внутрішньом’язового</w:t>
      </w:r>
      <w:proofErr w:type="spellEnd"/>
      <w:r w:rsidRPr="00FB3DD3">
        <w:rPr>
          <w:sz w:val="24"/>
          <w:szCs w:val="24"/>
          <w:lang w:val="uk-UA"/>
        </w:rPr>
        <w:t xml:space="preserve"> введення котам вміст одного флакону розчиняють у 3,6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0,25-0,5% розчину новокаїну або у 3,6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стерильної води для ін`єкцій. Таким чином,</w:t>
      </w:r>
      <w:r w:rsidRPr="00FB3DD3">
        <w:rPr>
          <w:sz w:val="24"/>
          <w:szCs w:val="24"/>
        </w:rPr>
        <w:t xml:space="preserve"> </w:t>
      </w:r>
      <w:r w:rsidRPr="00FB3DD3">
        <w:rPr>
          <w:sz w:val="24"/>
          <w:szCs w:val="24"/>
          <w:lang w:val="uk-UA"/>
        </w:rPr>
        <w:t xml:space="preserve">1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приготованого розчину містить 250 мг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 xml:space="preserve">. </w:t>
      </w:r>
      <w:r w:rsidRPr="00FB3DD3">
        <w:rPr>
          <w:b/>
          <w:sz w:val="24"/>
          <w:szCs w:val="24"/>
          <w:lang w:val="uk-UA"/>
        </w:rPr>
        <w:t xml:space="preserve">При застосуванні котам не слід розчиняти препарат </w:t>
      </w:r>
      <w:proofErr w:type="spellStart"/>
      <w:r w:rsidRPr="00FB3DD3">
        <w:rPr>
          <w:b/>
          <w:sz w:val="24"/>
          <w:szCs w:val="24"/>
          <w:lang w:val="uk-UA"/>
        </w:rPr>
        <w:t>лідокаїном</w:t>
      </w:r>
      <w:proofErr w:type="spellEnd"/>
      <w:r w:rsidRPr="00FB3DD3">
        <w:rPr>
          <w:b/>
          <w:sz w:val="24"/>
          <w:szCs w:val="24"/>
          <w:lang w:val="uk-UA"/>
        </w:rPr>
        <w:t>!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Для внутрішньовенного струминного введення вміст флакону розчиняють у 9,6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стерильної води для ін`єкцій або 0,9% розчині натрію хлориду, або 5% розчині глюкози. Таким чином, 1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приготованого розчину містить 100 мг </w:t>
      </w:r>
      <w:proofErr w:type="spellStart"/>
      <w:r w:rsidRPr="00FB3DD3">
        <w:rPr>
          <w:sz w:val="24"/>
          <w:szCs w:val="24"/>
          <w:lang w:val="uk-UA"/>
        </w:rPr>
        <w:t>цефтріаксону</w:t>
      </w:r>
      <w:proofErr w:type="spellEnd"/>
      <w:r w:rsidRPr="00FB3DD3">
        <w:rPr>
          <w:sz w:val="24"/>
          <w:szCs w:val="24"/>
          <w:lang w:val="uk-UA"/>
        </w:rPr>
        <w:t>.</w:t>
      </w:r>
    </w:p>
    <w:p w:rsidR="001C551A" w:rsidRPr="00FB3DD3" w:rsidRDefault="001C551A" w:rsidP="001C551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FB3DD3">
        <w:rPr>
          <w:sz w:val="24"/>
          <w:szCs w:val="24"/>
          <w:lang w:val="uk-UA"/>
        </w:rPr>
        <w:t xml:space="preserve">Для внутрішньовенного крапельного введення вміст флакону розчиняють у 100-250 </w:t>
      </w:r>
      <w:proofErr w:type="spellStart"/>
      <w:r w:rsidRPr="00FB3DD3">
        <w:rPr>
          <w:sz w:val="24"/>
          <w:szCs w:val="24"/>
          <w:lang w:val="uk-UA"/>
        </w:rPr>
        <w:t>мл</w:t>
      </w:r>
      <w:proofErr w:type="spellEnd"/>
      <w:r w:rsidRPr="00FB3DD3">
        <w:rPr>
          <w:sz w:val="24"/>
          <w:szCs w:val="24"/>
          <w:lang w:val="uk-UA"/>
        </w:rPr>
        <w:t xml:space="preserve"> 0,9% розчину натрію хлориду або 5% розчині глюкози. </w:t>
      </w:r>
      <w:proofErr w:type="spellStart"/>
      <w:r w:rsidRPr="00FB3DD3">
        <w:rPr>
          <w:sz w:val="24"/>
          <w:szCs w:val="24"/>
          <w:lang w:val="uk-UA"/>
        </w:rPr>
        <w:t>Інфузію</w:t>
      </w:r>
      <w:proofErr w:type="spellEnd"/>
      <w:r w:rsidRPr="00FB3DD3">
        <w:rPr>
          <w:sz w:val="24"/>
          <w:szCs w:val="24"/>
          <w:lang w:val="uk-UA"/>
        </w:rPr>
        <w:t xml:space="preserve"> проводять протягом 20-30 хвилин (швидкість введення 60-80 крапель на 1 хвилину).</w:t>
      </w:r>
    </w:p>
    <w:p w:rsidR="001C551A" w:rsidRPr="003461B6" w:rsidRDefault="001C551A" w:rsidP="001C551A">
      <w:pPr>
        <w:suppressAutoHyphens/>
        <w:ind w:firstLine="567"/>
        <w:jc w:val="both"/>
        <w:rPr>
          <w:sz w:val="24"/>
          <w:szCs w:val="24"/>
          <w:lang w:val="la-Latn"/>
        </w:rPr>
      </w:pPr>
      <w:r w:rsidRPr="00FB3DD3">
        <w:rPr>
          <w:sz w:val="24"/>
          <w:szCs w:val="24"/>
          <w:lang w:val="la-Latn"/>
        </w:rPr>
        <w:t>Розчини антибіотика слід готувати безпосередньо перед застосуванням. Після додавання розчинника необхідно візуально оцінити повноту розчинення</w:t>
      </w:r>
      <w:r w:rsidRPr="003461B6">
        <w:rPr>
          <w:sz w:val="24"/>
          <w:szCs w:val="24"/>
          <w:lang w:val="la-Latn"/>
        </w:rPr>
        <w:t xml:space="preserve">. </w:t>
      </w:r>
    </w:p>
    <w:p w:rsidR="001C551A" w:rsidRPr="003461B6" w:rsidRDefault="001C551A" w:rsidP="001C551A">
      <w:pPr>
        <w:suppressAutoHyphens/>
        <w:ind w:firstLine="567"/>
        <w:jc w:val="both"/>
        <w:rPr>
          <w:sz w:val="24"/>
          <w:lang w:val="la-Latn"/>
        </w:rPr>
      </w:pPr>
      <w:r w:rsidRPr="003461B6">
        <w:rPr>
          <w:sz w:val="24"/>
          <w:szCs w:val="24"/>
          <w:lang w:val="la-Latn"/>
        </w:rPr>
        <w:t xml:space="preserve">Свіжоприготовлені розчини зберігають свою </w:t>
      </w:r>
      <w:r w:rsidRPr="003461B6">
        <w:rPr>
          <w:sz w:val="24"/>
          <w:lang w:val="la-Latn"/>
        </w:rPr>
        <w:t xml:space="preserve">фізичну і хімічну стабільність  протягом 6 год при температурі не вище 25 </w:t>
      </w:r>
      <w:r w:rsidRPr="003461B6">
        <w:rPr>
          <w:sz w:val="24"/>
          <w:vertAlign w:val="superscript"/>
          <w:lang w:val="la-Latn"/>
        </w:rPr>
        <w:t>о</w:t>
      </w:r>
      <w:r w:rsidRPr="003461B6">
        <w:rPr>
          <w:sz w:val="24"/>
          <w:lang w:val="la-Latn"/>
        </w:rPr>
        <w:t>С та протягом 24 год при температурі 2 - 8 ºС.</w:t>
      </w:r>
    </w:p>
    <w:p w:rsidR="001C551A" w:rsidRPr="00A66E12" w:rsidRDefault="001C551A" w:rsidP="001C551A">
      <w:pPr>
        <w:shd w:val="clear" w:color="auto" w:fill="FFFFFF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5.9 Передозування (симптоми, невідкладні заходи, антидоти)</w:t>
      </w:r>
    </w:p>
    <w:p w:rsidR="001C551A" w:rsidRPr="00A66E12" w:rsidRDefault="001C551A" w:rsidP="001C551A">
      <w:pPr>
        <w:widowControl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Застосування</w:t>
      </w:r>
      <w:r w:rsidRPr="00A66E12">
        <w:rPr>
          <w:sz w:val="24"/>
          <w:szCs w:val="24"/>
          <w:lang w:val="uk-UA"/>
        </w:rPr>
        <w:t xml:space="preserve"> протягом тривалого часу </w:t>
      </w:r>
      <w:r>
        <w:rPr>
          <w:sz w:val="24"/>
          <w:szCs w:val="24"/>
          <w:lang w:val="uk-UA"/>
        </w:rPr>
        <w:t>в</w:t>
      </w:r>
      <w:r w:rsidRPr="00A66E12">
        <w:rPr>
          <w:sz w:val="24"/>
          <w:szCs w:val="24"/>
          <w:lang w:val="uk-UA"/>
        </w:rPr>
        <w:t xml:space="preserve"> дозах, що перевищують максимально допустимі, можливі формування конкрецій з осадженої кальцієвої солі </w:t>
      </w:r>
      <w:proofErr w:type="spellStart"/>
      <w:r w:rsidRPr="00A66E12">
        <w:rPr>
          <w:sz w:val="24"/>
          <w:szCs w:val="24"/>
          <w:lang w:val="uk-UA"/>
        </w:rPr>
        <w:t>цефтріаксону</w:t>
      </w:r>
      <w:proofErr w:type="spellEnd"/>
      <w:r w:rsidRPr="00A66E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A66E12">
        <w:rPr>
          <w:sz w:val="24"/>
          <w:szCs w:val="24"/>
          <w:lang w:val="uk-UA"/>
        </w:rPr>
        <w:t xml:space="preserve"> жовчному міхурі у собак.</w:t>
      </w:r>
    </w:p>
    <w:p w:rsidR="001C551A" w:rsidRPr="00A66E12" w:rsidRDefault="001C551A" w:rsidP="001C551A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 xml:space="preserve">5.10 Спеціальні застереження  </w:t>
      </w:r>
    </w:p>
    <w:p w:rsidR="00FC351D" w:rsidRPr="00A66E12" w:rsidRDefault="001C551A" w:rsidP="001C551A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/>
        </w:rPr>
        <w:t>Відсутні.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5.11 Період виведення (</w:t>
      </w:r>
      <w:proofErr w:type="spellStart"/>
      <w:r w:rsidRPr="00A66E12">
        <w:rPr>
          <w:b/>
          <w:sz w:val="24"/>
          <w:szCs w:val="24"/>
          <w:lang w:val="uk-UA"/>
        </w:rPr>
        <w:t>каренція</w:t>
      </w:r>
      <w:proofErr w:type="spellEnd"/>
      <w:r w:rsidRPr="00A66E12">
        <w:rPr>
          <w:b/>
          <w:sz w:val="24"/>
          <w:szCs w:val="24"/>
          <w:lang w:val="uk-UA"/>
        </w:rPr>
        <w:t>)</w:t>
      </w:r>
    </w:p>
    <w:p w:rsidR="00FC351D" w:rsidRPr="00A66E12" w:rsidRDefault="00FC351D" w:rsidP="00FC351D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/>
        </w:rPr>
        <w:t>Не визначається. Препарат застосовується для непродуктивних тварин.</w:t>
      </w:r>
    </w:p>
    <w:p w:rsidR="00FC351D" w:rsidRPr="00A66E12" w:rsidRDefault="00FC351D" w:rsidP="00FC351D">
      <w:pPr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5.12 Спеціальні застереження для лікарів ветеринарної медицини, власників тварин та  обслуговуючого персоналу</w:t>
      </w:r>
    </w:p>
    <w:p w:rsidR="00FC351D" w:rsidRPr="00A66E12" w:rsidRDefault="00FC351D" w:rsidP="00FC351D">
      <w:pPr>
        <w:shd w:val="clear" w:color="auto" w:fill="FFFFFF"/>
        <w:tabs>
          <w:tab w:val="left" w:pos="480"/>
        </w:tabs>
        <w:spacing w:before="10" w:line="277" w:lineRule="exact"/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/>
        </w:rPr>
        <w:t>Під час ін’єкції необхідно запобігати випадковому контакту з очима, шкірою і слизовою оболонкою через можливе подразнення і алергічну дію. Необхідно дотримуватись правил роботи із ветеринарними препаратами.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6. Фармацевтичні особливості</w:t>
      </w:r>
    </w:p>
    <w:p w:rsidR="00FC351D" w:rsidRPr="00A66E12" w:rsidRDefault="00FC351D" w:rsidP="00FC351D">
      <w:pPr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6.1 Форми несумісності</w:t>
      </w:r>
    </w:p>
    <w:p w:rsidR="00FC351D" w:rsidRPr="00A66E12" w:rsidRDefault="00FC351D" w:rsidP="00FC351D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A66E12">
        <w:rPr>
          <w:sz w:val="24"/>
          <w:szCs w:val="24"/>
          <w:lang w:val="uk-UA"/>
        </w:rPr>
        <w:t>Цефтріаксон</w:t>
      </w:r>
      <w:proofErr w:type="spellEnd"/>
      <w:r w:rsidRPr="00A66E12">
        <w:rPr>
          <w:sz w:val="24"/>
          <w:szCs w:val="24"/>
          <w:lang w:val="uk-UA"/>
        </w:rPr>
        <w:t xml:space="preserve"> не слід додавати в </w:t>
      </w:r>
      <w:proofErr w:type="spellStart"/>
      <w:r w:rsidRPr="00A66E12">
        <w:rPr>
          <w:sz w:val="24"/>
          <w:szCs w:val="24"/>
          <w:lang w:val="uk-UA"/>
        </w:rPr>
        <w:t>інфузійні</w:t>
      </w:r>
      <w:proofErr w:type="spellEnd"/>
      <w:r w:rsidRPr="00A66E12">
        <w:rPr>
          <w:sz w:val="24"/>
          <w:szCs w:val="24"/>
          <w:lang w:val="uk-UA"/>
        </w:rPr>
        <w:t xml:space="preserve"> розчини, що містять кальцій, наприклад, розчин </w:t>
      </w:r>
      <w:proofErr w:type="spellStart"/>
      <w:r w:rsidRPr="00A66E12">
        <w:rPr>
          <w:sz w:val="24"/>
          <w:szCs w:val="24"/>
          <w:lang w:val="uk-UA"/>
        </w:rPr>
        <w:t>Гартмана</w:t>
      </w:r>
      <w:proofErr w:type="spellEnd"/>
      <w:r w:rsidRPr="00A66E12">
        <w:rPr>
          <w:sz w:val="24"/>
          <w:szCs w:val="24"/>
          <w:lang w:val="uk-UA"/>
        </w:rPr>
        <w:t xml:space="preserve"> й </w:t>
      </w:r>
      <w:proofErr w:type="spellStart"/>
      <w:r w:rsidRPr="00A66E12">
        <w:rPr>
          <w:sz w:val="24"/>
          <w:szCs w:val="24"/>
          <w:lang w:val="uk-UA"/>
        </w:rPr>
        <w:t>Рінгера</w:t>
      </w:r>
      <w:proofErr w:type="spellEnd"/>
      <w:r w:rsidRPr="00A66E12">
        <w:rPr>
          <w:sz w:val="24"/>
          <w:szCs w:val="24"/>
          <w:lang w:val="uk-UA"/>
        </w:rPr>
        <w:t xml:space="preserve">. </w:t>
      </w:r>
      <w:proofErr w:type="spellStart"/>
      <w:r w:rsidRPr="00A66E12">
        <w:rPr>
          <w:sz w:val="24"/>
          <w:szCs w:val="24"/>
          <w:lang w:val="uk-UA"/>
        </w:rPr>
        <w:t>Цефтріаксон</w:t>
      </w:r>
      <w:proofErr w:type="spellEnd"/>
      <w:r w:rsidRPr="00A66E12">
        <w:rPr>
          <w:sz w:val="24"/>
          <w:szCs w:val="24"/>
          <w:lang w:val="uk-UA"/>
        </w:rPr>
        <w:t xml:space="preserve"> несумісний і не повинен змішуватися з </w:t>
      </w:r>
      <w:proofErr w:type="spellStart"/>
      <w:r w:rsidRPr="00A66E12">
        <w:rPr>
          <w:sz w:val="24"/>
          <w:szCs w:val="24"/>
          <w:lang w:val="uk-UA"/>
        </w:rPr>
        <w:t>аміноглікозидами</w:t>
      </w:r>
      <w:proofErr w:type="spellEnd"/>
      <w:r w:rsidRPr="00A66E12">
        <w:rPr>
          <w:sz w:val="24"/>
          <w:szCs w:val="24"/>
          <w:lang w:val="uk-UA"/>
        </w:rPr>
        <w:t>.            Не допускається змішування розчину препарату в одному об’ємі з іншими антибіотиками.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6.2  Термін придатності</w:t>
      </w:r>
    </w:p>
    <w:p w:rsidR="00FC351D" w:rsidRPr="00A66E12" w:rsidRDefault="00FC351D" w:rsidP="00FC351D">
      <w:pPr>
        <w:pStyle w:val="2"/>
        <w:ind w:firstLine="567"/>
        <w:rPr>
          <w:szCs w:val="24"/>
        </w:rPr>
      </w:pPr>
      <w:r w:rsidRPr="00A66E12">
        <w:rPr>
          <w:szCs w:val="24"/>
        </w:rPr>
        <w:t>3 роки.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6.3 Особливі заходи зберігання</w:t>
      </w:r>
    </w:p>
    <w:p w:rsidR="00C71791" w:rsidRDefault="005D0BAE" w:rsidP="005D0BAE">
      <w:pPr>
        <w:ind w:firstLine="567"/>
        <w:jc w:val="both"/>
        <w:rPr>
          <w:sz w:val="24"/>
          <w:szCs w:val="24"/>
          <w:lang w:val="uk-UA"/>
        </w:rPr>
      </w:pPr>
      <w:r w:rsidRPr="00466137">
        <w:rPr>
          <w:sz w:val="24"/>
          <w:szCs w:val="24"/>
          <w:lang w:val="uk-UA"/>
        </w:rPr>
        <w:t xml:space="preserve">В оригінальній упаковці при </w:t>
      </w:r>
      <w:r w:rsidRPr="00466137">
        <w:rPr>
          <w:sz w:val="24"/>
          <w:szCs w:val="24"/>
          <w:lang w:val="la-Latn"/>
        </w:rPr>
        <w:t>температур</w:t>
      </w:r>
      <w:r w:rsidRPr="00466137">
        <w:rPr>
          <w:sz w:val="24"/>
          <w:szCs w:val="24"/>
          <w:lang w:val="uk-UA"/>
        </w:rPr>
        <w:t>і</w:t>
      </w:r>
      <w:r w:rsidRPr="00466137">
        <w:rPr>
          <w:sz w:val="24"/>
          <w:szCs w:val="24"/>
          <w:lang w:val="la-Latn"/>
        </w:rPr>
        <w:t xml:space="preserve"> не вище 25</w:t>
      </w:r>
      <w:r w:rsidRPr="00466137">
        <w:rPr>
          <w:sz w:val="24"/>
          <w:szCs w:val="24"/>
          <w:lang w:val="uk-UA"/>
        </w:rPr>
        <w:t xml:space="preserve"> </w:t>
      </w:r>
      <w:r w:rsidRPr="00466137">
        <w:rPr>
          <w:sz w:val="24"/>
          <w:szCs w:val="24"/>
          <w:vertAlign w:val="superscript"/>
          <w:lang w:val="la-Latn"/>
        </w:rPr>
        <w:t>о</w:t>
      </w:r>
      <w:r w:rsidRPr="00466137">
        <w:rPr>
          <w:sz w:val="24"/>
          <w:szCs w:val="24"/>
          <w:lang w:val="la-Latn"/>
        </w:rPr>
        <w:t>С</w:t>
      </w:r>
      <w:r w:rsidRPr="00466137">
        <w:rPr>
          <w:sz w:val="24"/>
          <w:szCs w:val="24"/>
          <w:lang w:val="uk-UA"/>
        </w:rPr>
        <w:t>.</w:t>
      </w:r>
      <w:r w:rsidR="00C71791">
        <w:rPr>
          <w:sz w:val="24"/>
          <w:szCs w:val="24"/>
          <w:lang w:val="uk-UA"/>
        </w:rPr>
        <w:t xml:space="preserve"> </w:t>
      </w:r>
    </w:p>
    <w:p w:rsidR="005D0BAE" w:rsidRDefault="005D0BAE" w:rsidP="005D0BAE">
      <w:pPr>
        <w:ind w:firstLine="567"/>
        <w:jc w:val="both"/>
        <w:rPr>
          <w:sz w:val="24"/>
          <w:szCs w:val="24"/>
          <w:lang w:val="uk-UA"/>
        </w:rPr>
      </w:pPr>
      <w:r w:rsidRPr="00466137">
        <w:rPr>
          <w:sz w:val="24"/>
          <w:szCs w:val="24"/>
          <w:lang w:val="uk-UA"/>
        </w:rPr>
        <w:t>Зберігати у недоступному для дітей місці.</w:t>
      </w:r>
    </w:p>
    <w:p w:rsidR="00FB3DD3" w:rsidRPr="003461B6" w:rsidRDefault="00FB3DD3" w:rsidP="00FB3DD3">
      <w:pPr>
        <w:suppressAutoHyphens/>
        <w:ind w:firstLine="567"/>
        <w:jc w:val="both"/>
        <w:rPr>
          <w:sz w:val="24"/>
          <w:lang w:val="la-Latn"/>
        </w:rPr>
      </w:pPr>
      <w:r w:rsidRPr="003461B6">
        <w:rPr>
          <w:sz w:val="24"/>
          <w:szCs w:val="24"/>
          <w:lang w:val="la-Latn"/>
        </w:rPr>
        <w:t xml:space="preserve">Свіжоприготовлені розчини зберігають свою </w:t>
      </w:r>
      <w:r w:rsidRPr="003461B6">
        <w:rPr>
          <w:sz w:val="24"/>
          <w:lang w:val="la-Latn"/>
        </w:rPr>
        <w:t xml:space="preserve">фізичну і хімічну стабільність  протягом 6 год при температурі не вище 25 </w:t>
      </w:r>
      <w:r w:rsidRPr="003461B6">
        <w:rPr>
          <w:sz w:val="24"/>
          <w:vertAlign w:val="superscript"/>
          <w:lang w:val="la-Latn"/>
        </w:rPr>
        <w:t>о</w:t>
      </w:r>
      <w:r w:rsidRPr="003461B6">
        <w:rPr>
          <w:sz w:val="24"/>
          <w:lang w:val="la-Latn"/>
        </w:rPr>
        <w:t>С та протягом 24 год при температурі 2 - 8 ºС.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 w:rsidRPr="00A66E12">
        <w:rPr>
          <w:b/>
          <w:sz w:val="24"/>
          <w:szCs w:val="24"/>
          <w:lang w:val="uk-UA"/>
        </w:rPr>
        <w:t>6.4 Природа і склад контейнера первинного пакування</w:t>
      </w:r>
    </w:p>
    <w:p w:rsidR="00FC351D" w:rsidRPr="00A66E12" w:rsidRDefault="00FC351D" w:rsidP="00FC351D">
      <w:pPr>
        <w:shd w:val="clear" w:color="auto" w:fill="FFFFFF"/>
        <w:ind w:firstLine="567"/>
        <w:jc w:val="both"/>
        <w:rPr>
          <w:i/>
          <w:sz w:val="24"/>
          <w:szCs w:val="24"/>
          <w:lang w:val="uk-UA"/>
        </w:rPr>
      </w:pPr>
      <w:r w:rsidRPr="00A66E12">
        <w:rPr>
          <w:sz w:val="24"/>
          <w:szCs w:val="24"/>
          <w:lang w:val="uk-UA"/>
        </w:rPr>
        <w:t xml:space="preserve">Скляні флакони місткістю 10 </w:t>
      </w:r>
      <w:proofErr w:type="spellStart"/>
      <w:r w:rsidRPr="00A66E12">
        <w:rPr>
          <w:sz w:val="24"/>
          <w:szCs w:val="24"/>
          <w:lang w:val="uk-UA"/>
        </w:rPr>
        <w:t>мл</w:t>
      </w:r>
      <w:proofErr w:type="spellEnd"/>
      <w:r w:rsidRPr="00A66E12">
        <w:rPr>
          <w:sz w:val="24"/>
          <w:szCs w:val="24"/>
          <w:lang w:val="uk-UA"/>
        </w:rPr>
        <w:t xml:space="preserve"> або 20 </w:t>
      </w:r>
      <w:proofErr w:type="spellStart"/>
      <w:r w:rsidRPr="00A66E12">
        <w:rPr>
          <w:sz w:val="24"/>
          <w:szCs w:val="24"/>
          <w:lang w:val="uk-UA"/>
        </w:rPr>
        <w:t>мл</w:t>
      </w:r>
      <w:proofErr w:type="spellEnd"/>
      <w:r w:rsidRPr="00A66E12">
        <w:rPr>
          <w:sz w:val="24"/>
          <w:szCs w:val="24"/>
          <w:lang w:val="uk-UA"/>
        </w:rPr>
        <w:t>, що закупорюються гумовими корками під алюмінієву обкатку по 1000 мг.</w:t>
      </w:r>
    </w:p>
    <w:p w:rsidR="00FC351D" w:rsidRPr="00A66E12" w:rsidRDefault="00FC351D" w:rsidP="00FC351D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C71791" w:rsidRDefault="00FC351D" w:rsidP="00C71791">
      <w:pPr>
        <w:widowControl w:val="0"/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spacing w:val="-1"/>
          <w:sz w:val="24"/>
          <w:szCs w:val="24"/>
          <w:lang w:val="uk-UA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FC351D" w:rsidRPr="00A66E12" w:rsidRDefault="00FC351D" w:rsidP="00FC351D">
      <w:pPr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lastRenderedPageBreak/>
        <w:t>7. Назва та місцезнаходження власника реєстраційного посвідчення</w:t>
      </w:r>
    </w:p>
    <w:p w:rsidR="00FC351D" w:rsidRPr="00A66E12" w:rsidRDefault="00FC351D" w:rsidP="00FC351D">
      <w:pPr>
        <w:ind w:firstLine="567"/>
        <w:rPr>
          <w:sz w:val="24"/>
          <w:szCs w:val="24"/>
          <w:lang w:val="uk-UA" w:eastAsia="uk-UA"/>
        </w:rPr>
      </w:pPr>
      <w:r w:rsidRPr="00A66E12">
        <w:rPr>
          <w:sz w:val="24"/>
          <w:szCs w:val="24"/>
          <w:lang w:val="uk-UA" w:eastAsia="uk-UA"/>
        </w:rPr>
        <w:t>ПАТ НВЦ “</w:t>
      </w:r>
      <w:proofErr w:type="spellStart"/>
      <w:r w:rsidRPr="00A66E12">
        <w:rPr>
          <w:sz w:val="24"/>
          <w:szCs w:val="24"/>
          <w:shd w:val="clear" w:color="auto" w:fill="FFFFFF"/>
          <w:lang w:val="uk-UA"/>
        </w:rPr>
        <w:t>Борщагівський</w:t>
      </w:r>
      <w:proofErr w:type="spellEnd"/>
      <w:r w:rsidRPr="00A66E12">
        <w:rPr>
          <w:sz w:val="24"/>
          <w:szCs w:val="24"/>
          <w:shd w:val="clear" w:color="auto" w:fill="FFFFFF"/>
          <w:lang w:val="uk-UA"/>
        </w:rPr>
        <w:t xml:space="preserve"> ХФЗ</w:t>
      </w:r>
      <w:r w:rsidRPr="00A66E12">
        <w:rPr>
          <w:sz w:val="24"/>
          <w:szCs w:val="24"/>
          <w:lang w:val="uk-UA" w:eastAsia="uk-UA"/>
        </w:rPr>
        <w:t>”</w:t>
      </w:r>
    </w:p>
    <w:p w:rsidR="00C71791" w:rsidRDefault="00FC351D" w:rsidP="00FC351D">
      <w:pPr>
        <w:ind w:firstLine="567"/>
        <w:jc w:val="both"/>
        <w:rPr>
          <w:sz w:val="24"/>
          <w:szCs w:val="24"/>
          <w:lang w:val="uk-UA" w:eastAsia="uk-UA"/>
        </w:rPr>
      </w:pPr>
      <w:r w:rsidRPr="00A66E12">
        <w:rPr>
          <w:sz w:val="24"/>
          <w:szCs w:val="24"/>
          <w:lang w:val="uk-UA" w:eastAsia="uk-UA"/>
        </w:rPr>
        <w:t xml:space="preserve">03134, м. Київ, вул. Миру, 17 </w:t>
      </w:r>
    </w:p>
    <w:p w:rsidR="00FC351D" w:rsidRPr="00A66E12" w:rsidRDefault="00FC351D" w:rsidP="00FC351D">
      <w:pPr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 w:eastAsia="uk-UA"/>
        </w:rPr>
        <w:t>Україна</w:t>
      </w:r>
    </w:p>
    <w:p w:rsidR="00C71791" w:rsidRPr="00BB405B" w:rsidRDefault="00C71791" w:rsidP="00C71791">
      <w:pPr>
        <w:jc w:val="right"/>
        <w:rPr>
          <w:sz w:val="24"/>
          <w:szCs w:val="24"/>
          <w:lang w:val="uk-UA"/>
        </w:rPr>
      </w:pPr>
      <w:r w:rsidRPr="00BB405B">
        <w:rPr>
          <w:sz w:val="24"/>
          <w:szCs w:val="24"/>
          <w:lang w:val="uk-UA"/>
        </w:rPr>
        <w:t xml:space="preserve">Продовження </w:t>
      </w:r>
      <w:r>
        <w:rPr>
          <w:sz w:val="24"/>
          <w:szCs w:val="24"/>
          <w:lang w:val="uk-UA"/>
        </w:rPr>
        <w:t>Д</w:t>
      </w:r>
      <w:r w:rsidRPr="00BB405B">
        <w:rPr>
          <w:sz w:val="24"/>
          <w:szCs w:val="24"/>
          <w:lang w:val="uk-UA"/>
        </w:rPr>
        <w:t xml:space="preserve">одатку </w:t>
      </w:r>
      <w:r>
        <w:rPr>
          <w:sz w:val="24"/>
          <w:szCs w:val="24"/>
          <w:lang w:val="uk-UA"/>
        </w:rPr>
        <w:t>1</w:t>
      </w:r>
    </w:p>
    <w:p w:rsidR="00C71791" w:rsidRPr="00BB405B" w:rsidRDefault="00C71791" w:rsidP="00C71791">
      <w:pPr>
        <w:jc w:val="right"/>
        <w:rPr>
          <w:sz w:val="24"/>
          <w:szCs w:val="24"/>
          <w:lang w:val="uk-UA"/>
        </w:rPr>
      </w:pPr>
      <w:r w:rsidRPr="00BB405B">
        <w:rPr>
          <w:sz w:val="24"/>
          <w:szCs w:val="24"/>
          <w:lang w:val="uk-UA"/>
        </w:rPr>
        <w:t xml:space="preserve">до реєстраційного посвідчення </w:t>
      </w:r>
      <w:r>
        <w:rPr>
          <w:sz w:val="24"/>
          <w:szCs w:val="24"/>
          <w:lang w:val="uk-UA"/>
        </w:rPr>
        <w:t>АВ-00937</w:t>
      </w:r>
      <w:r w:rsidRPr="003912DC">
        <w:rPr>
          <w:sz w:val="24"/>
          <w:szCs w:val="24"/>
          <w:lang w:val="uk-UA"/>
        </w:rPr>
        <w:t>-01-1</w:t>
      </w:r>
      <w:r>
        <w:rPr>
          <w:sz w:val="24"/>
          <w:szCs w:val="24"/>
          <w:lang w:val="uk-UA"/>
        </w:rPr>
        <w:t>0</w:t>
      </w:r>
    </w:p>
    <w:p w:rsidR="00C71791" w:rsidRDefault="00C71791" w:rsidP="00C71791">
      <w:pPr>
        <w:ind w:firstLine="567"/>
        <w:jc w:val="both"/>
        <w:rPr>
          <w:b/>
          <w:sz w:val="24"/>
          <w:szCs w:val="24"/>
          <w:lang w:val="uk-UA"/>
        </w:rPr>
      </w:pPr>
    </w:p>
    <w:p w:rsidR="00C71791" w:rsidRDefault="00C71791" w:rsidP="00FC351D">
      <w:pPr>
        <w:ind w:firstLine="567"/>
        <w:jc w:val="both"/>
        <w:rPr>
          <w:b/>
          <w:sz w:val="24"/>
          <w:szCs w:val="24"/>
          <w:lang w:val="uk-UA"/>
        </w:rPr>
      </w:pPr>
    </w:p>
    <w:p w:rsidR="00FC351D" w:rsidRPr="00A66E12" w:rsidRDefault="00FC351D" w:rsidP="00FC351D">
      <w:pPr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8. Назва та місцезнаходження виробника (виробників)</w:t>
      </w:r>
    </w:p>
    <w:p w:rsidR="00FC351D" w:rsidRPr="00A66E12" w:rsidRDefault="00FC351D" w:rsidP="00FC351D">
      <w:pPr>
        <w:ind w:firstLine="567"/>
        <w:rPr>
          <w:sz w:val="24"/>
          <w:szCs w:val="24"/>
          <w:lang w:val="uk-UA" w:eastAsia="uk-UA"/>
        </w:rPr>
      </w:pPr>
      <w:r w:rsidRPr="00A66E12">
        <w:rPr>
          <w:sz w:val="24"/>
          <w:szCs w:val="24"/>
          <w:lang w:val="uk-UA" w:eastAsia="uk-UA"/>
        </w:rPr>
        <w:t>ПАТ НВЦ “</w:t>
      </w:r>
      <w:proofErr w:type="spellStart"/>
      <w:r w:rsidRPr="00A66E12">
        <w:rPr>
          <w:sz w:val="24"/>
          <w:szCs w:val="24"/>
          <w:shd w:val="clear" w:color="auto" w:fill="FFFFFF"/>
          <w:lang w:val="uk-UA"/>
        </w:rPr>
        <w:t>Борщагівський</w:t>
      </w:r>
      <w:proofErr w:type="spellEnd"/>
      <w:r w:rsidRPr="00A66E12">
        <w:rPr>
          <w:sz w:val="24"/>
          <w:szCs w:val="24"/>
          <w:shd w:val="clear" w:color="auto" w:fill="FFFFFF"/>
          <w:lang w:val="uk-UA"/>
        </w:rPr>
        <w:t xml:space="preserve"> ХФЗ</w:t>
      </w:r>
      <w:r w:rsidRPr="00A66E12">
        <w:rPr>
          <w:sz w:val="24"/>
          <w:szCs w:val="24"/>
          <w:lang w:val="uk-UA" w:eastAsia="uk-UA"/>
        </w:rPr>
        <w:t>”</w:t>
      </w:r>
    </w:p>
    <w:p w:rsidR="00FC351D" w:rsidRPr="00A66E12" w:rsidRDefault="00FC351D" w:rsidP="00FC351D">
      <w:pPr>
        <w:ind w:firstLine="567"/>
        <w:jc w:val="both"/>
        <w:rPr>
          <w:sz w:val="24"/>
          <w:szCs w:val="24"/>
          <w:lang w:val="uk-UA" w:eastAsia="uk-UA"/>
        </w:rPr>
      </w:pPr>
      <w:r w:rsidRPr="00A66E12">
        <w:rPr>
          <w:sz w:val="24"/>
          <w:szCs w:val="24"/>
          <w:lang w:val="uk-UA" w:eastAsia="uk-UA"/>
        </w:rPr>
        <w:t xml:space="preserve">03134, м. Київ, вул. Миру, 17 </w:t>
      </w:r>
    </w:p>
    <w:p w:rsidR="00FC351D" w:rsidRPr="00A66E12" w:rsidRDefault="00FC351D" w:rsidP="00FC351D">
      <w:pPr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 w:eastAsia="uk-UA"/>
        </w:rPr>
        <w:t>Україна</w:t>
      </w:r>
    </w:p>
    <w:p w:rsidR="00FC351D" w:rsidRPr="00A66E12" w:rsidRDefault="00FC351D" w:rsidP="00FC351D">
      <w:pPr>
        <w:tabs>
          <w:tab w:val="left" w:pos="2130"/>
          <w:tab w:val="left" w:pos="9639"/>
          <w:tab w:val="left" w:pos="10065"/>
          <w:tab w:val="left" w:pos="10206"/>
        </w:tabs>
        <w:ind w:firstLine="567"/>
        <w:jc w:val="both"/>
        <w:rPr>
          <w:b/>
          <w:sz w:val="24"/>
          <w:szCs w:val="24"/>
          <w:lang w:val="uk-UA"/>
        </w:rPr>
      </w:pPr>
      <w:r w:rsidRPr="00A66E12">
        <w:rPr>
          <w:b/>
          <w:sz w:val="24"/>
          <w:szCs w:val="24"/>
          <w:lang w:val="uk-UA"/>
        </w:rPr>
        <w:t>9. Додаткова інформація</w:t>
      </w:r>
    </w:p>
    <w:p w:rsidR="00FC351D" w:rsidRPr="00A66E12" w:rsidRDefault="00FC351D" w:rsidP="00FC351D">
      <w:pPr>
        <w:tabs>
          <w:tab w:val="left" w:pos="2130"/>
          <w:tab w:val="left" w:pos="9639"/>
          <w:tab w:val="left" w:pos="10065"/>
          <w:tab w:val="left" w:pos="10206"/>
        </w:tabs>
        <w:ind w:firstLine="567"/>
        <w:jc w:val="both"/>
        <w:rPr>
          <w:sz w:val="24"/>
          <w:szCs w:val="24"/>
          <w:lang w:val="uk-UA"/>
        </w:rPr>
      </w:pPr>
      <w:r w:rsidRPr="00A66E12">
        <w:rPr>
          <w:sz w:val="24"/>
          <w:szCs w:val="24"/>
          <w:lang w:val="uk-UA"/>
        </w:rPr>
        <w:t>Відсутня</w:t>
      </w:r>
    </w:p>
    <w:p w:rsidR="00FC351D" w:rsidRPr="00A66E12" w:rsidRDefault="00FC351D" w:rsidP="00FC351D">
      <w:pPr>
        <w:tabs>
          <w:tab w:val="left" w:pos="2130"/>
          <w:tab w:val="left" w:pos="9639"/>
          <w:tab w:val="left" w:pos="10065"/>
          <w:tab w:val="left" w:pos="10206"/>
        </w:tabs>
        <w:ind w:firstLine="567"/>
        <w:jc w:val="both"/>
        <w:rPr>
          <w:b/>
          <w:sz w:val="24"/>
          <w:szCs w:val="24"/>
          <w:lang w:val="uk-UA"/>
        </w:rPr>
      </w:pPr>
    </w:p>
    <w:p w:rsidR="00FC351D" w:rsidRPr="00A66E12" w:rsidRDefault="00FC351D" w:rsidP="00FC351D">
      <w:pPr>
        <w:ind w:firstLine="567"/>
        <w:jc w:val="both"/>
        <w:rPr>
          <w:sz w:val="24"/>
          <w:szCs w:val="24"/>
          <w:lang w:val="uk-UA"/>
        </w:rPr>
      </w:pPr>
    </w:p>
    <w:p w:rsidR="00F51A70" w:rsidRPr="00A66E12" w:rsidRDefault="00F51A70" w:rsidP="00FC351D"/>
    <w:sectPr w:rsidR="00F51A70" w:rsidRPr="00A66E12" w:rsidSect="00466137">
      <w:footerReference w:type="even" r:id="rId7"/>
      <w:footerReference w:type="default" r:id="rId8"/>
      <w:pgSz w:w="11906" w:h="16838"/>
      <w:pgMar w:top="567" w:right="70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E3" w:rsidRDefault="007C46E3">
      <w:r>
        <w:separator/>
      </w:r>
    </w:p>
  </w:endnote>
  <w:endnote w:type="continuationSeparator" w:id="0">
    <w:p w:rsidR="007C46E3" w:rsidRDefault="007C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E3" w:rsidRDefault="007C46E3" w:rsidP="006F067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6E3" w:rsidRDefault="007C46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E3" w:rsidRDefault="007C46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3DD3">
      <w:rPr>
        <w:noProof/>
      </w:rPr>
      <w:t>3</w:t>
    </w:r>
    <w:r>
      <w:rPr>
        <w:noProof/>
      </w:rPr>
      <w:fldChar w:fldCharType="end"/>
    </w:r>
  </w:p>
  <w:p w:rsidR="007C46E3" w:rsidRDefault="007C46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E3" w:rsidRDefault="007C46E3">
      <w:r>
        <w:separator/>
      </w:r>
    </w:p>
  </w:footnote>
  <w:footnote w:type="continuationSeparator" w:id="0">
    <w:p w:rsidR="007C46E3" w:rsidRDefault="007C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D30"/>
    <w:rsid w:val="000176C5"/>
    <w:rsid w:val="00017B48"/>
    <w:rsid w:val="00021D96"/>
    <w:rsid w:val="00031E4D"/>
    <w:rsid w:val="000328BF"/>
    <w:rsid w:val="000363D0"/>
    <w:rsid w:val="00044AA4"/>
    <w:rsid w:val="0005457B"/>
    <w:rsid w:val="00062BCB"/>
    <w:rsid w:val="00073CDC"/>
    <w:rsid w:val="00077CE8"/>
    <w:rsid w:val="000815FD"/>
    <w:rsid w:val="00084C1F"/>
    <w:rsid w:val="0008730B"/>
    <w:rsid w:val="00091669"/>
    <w:rsid w:val="00095631"/>
    <w:rsid w:val="00095897"/>
    <w:rsid w:val="000A2CB4"/>
    <w:rsid w:val="000B00F7"/>
    <w:rsid w:val="000B79B2"/>
    <w:rsid w:val="000C1A67"/>
    <w:rsid w:val="000E1395"/>
    <w:rsid w:val="000E36BB"/>
    <w:rsid w:val="000F1DD6"/>
    <w:rsid w:val="001108EE"/>
    <w:rsid w:val="00121369"/>
    <w:rsid w:val="0012367E"/>
    <w:rsid w:val="0013626B"/>
    <w:rsid w:val="0014441F"/>
    <w:rsid w:val="00147249"/>
    <w:rsid w:val="00147252"/>
    <w:rsid w:val="00153534"/>
    <w:rsid w:val="00154167"/>
    <w:rsid w:val="0016095B"/>
    <w:rsid w:val="0016419F"/>
    <w:rsid w:val="001916B6"/>
    <w:rsid w:val="00195C10"/>
    <w:rsid w:val="00196908"/>
    <w:rsid w:val="00197CA1"/>
    <w:rsid w:val="001A1A49"/>
    <w:rsid w:val="001A252D"/>
    <w:rsid w:val="001A7D7E"/>
    <w:rsid w:val="001B6DDD"/>
    <w:rsid w:val="001C452D"/>
    <w:rsid w:val="001C4D63"/>
    <w:rsid w:val="001C551A"/>
    <w:rsid w:val="001D1F89"/>
    <w:rsid w:val="001E76CC"/>
    <w:rsid w:val="001F2896"/>
    <w:rsid w:val="00201E1E"/>
    <w:rsid w:val="00202FFC"/>
    <w:rsid w:val="002137EA"/>
    <w:rsid w:val="002238D1"/>
    <w:rsid w:val="00234CB9"/>
    <w:rsid w:val="002351E7"/>
    <w:rsid w:val="002415D6"/>
    <w:rsid w:val="00245DA1"/>
    <w:rsid w:val="00245E9C"/>
    <w:rsid w:val="00246C10"/>
    <w:rsid w:val="00250156"/>
    <w:rsid w:val="00250573"/>
    <w:rsid w:val="00260A32"/>
    <w:rsid w:val="002614E4"/>
    <w:rsid w:val="00264BE1"/>
    <w:rsid w:val="00264D27"/>
    <w:rsid w:val="00264D5B"/>
    <w:rsid w:val="0026596C"/>
    <w:rsid w:val="00266B62"/>
    <w:rsid w:val="00270ACA"/>
    <w:rsid w:val="00276BAF"/>
    <w:rsid w:val="002809D8"/>
    <w:rsid w:val="00282B39"/>
    <w:rsid w:val="00284B06"/>
    <w:rsid w:val="00291ECC"/>
    <w:rsid w:val="0029739F"/>
    <w:rsid w:val="002A14C2"/>
    <w:rsid w:val="002A2DA8"/>
    <w:rsid w:val="002A54CD"/>
    <w:rsid w:val="002A6A0A"/>
    <w:rsid w:val="002B1601"/>
    <w:rsid w:val="002C38FD"/>
    <w:rsid w:val="002C5490"/>
    <w:rsid w:val="002D4F05"/>
    <w:rsid w:val="002D53B5"/>
    <w:rsid w:val="002E3034"/>
    <w:rsid w:val="002E32A4"/>
    <w:rsid w:val="002E69F1"/>
    <w:rsid w:val="002F1B08"/>
    <w:rsid w:val="002F5E2F"/>
    <w:rsid w:val="002F68FA"/>
    <w:rsid w:val="00300958"/>
    <w:rsid w:val="003071A2"/>
    <w:rsid w:val="00315F19"/>
    <w:rsid w:val="00320CBC"/>
    <w:rsid w:val="00326AF2"/>
    <w:rsid w:val="00330903"/>
    <w:rsid w:val="00330EF9"/>
    <w:rsid w:val="00332E86"/>
    <w:rsid w:val="00334614"/>
    <w:rsid w:val="0034190E"/>
    <w:rsid w:val="003458EA"/>
    <w:rsid w:val="003461B6"/>
    <w:rsid w:val="0034770E"/>
    <w:rsid w:val="00351E40"/>
    <w:rsid w:val="00367813"/>
    <w:rsid w:val="0038381C"/>
    <w:rsid w:val="00383D14"/>
    <w:rsid w:val="00390441"/>
    <w:rsid w:val="00396BAB"/>
    <w:rsid w:val="003A052C"/>
    <w:rsid w:val="003A482D"/>
    <w:rsid w:val="003A5294"/>
    <w:rsid w:val="003C682A"/>
    <w:rsid w:val="003D4580"/>
    <w:rsid w:val="003E43FE"/>
    <w:rsid w:val="003E5549"/>
    <w:rsid w:val="003F6E91"/>
    <w:rsid w:val="00406D30"/>
    <w:rsid w:val="00425987"/>
    <w:rsid w:val="00437376"/>
    <w:rsid w:val="00443B5D"/>
    <w:rsid w:val="00444D51"/>
    <w:rsid w:val="00445167"/>
    <w:rsid w:val="00453EB6"/>
    <w:rsid w:val="0045640B"/>
    <w:rsid w:val="00466137"/>
    <w:rsid w:val="004675D6"/>
    <w:rsid w:val="0048035E"/>
    <w:rsid w:val="004829B1"/>
    <w:rsid w:val="004831C4"/>
    <w:rsid w:val="00483F5A"/>
    <w:rsid w:val="00490D96"/>
    <w:rsid w:val="004913AE"/>
    <w:rsid w:val="00491EF4"/>
    <w:rsid w:val="004975DA"/>
    <w:rsid w:val="004A79BC"/>
    <w:rsid w:val="004B416E"/>
    <w:rsid w:val="004C05A5"/>
    <w:rsid w:val="004C45BE"/>
    <w:rsid w:val="004C76BA"/>
    <w:rsid w:val="004D1B39"/>
    <w:rsid w:val="004F1416"/>
    <w:rsid w:val="00506745"/>
    <w:rsid w:val="00507748"/>
    <w:rsid w:val="005109EE"/>
    <w:rsid w:val="00511603"/>
    <w:rsid w:val="00512F14"/>
    <w:rsid w:val="00513020"/>
    <w:rsid w:val="005217FA"/>
    <w:rsid w:val="00525142"/>
    <w:rsid w:val="00526857"/>
    <w:rsid w:val="00540243"/>
    <w:rsid w:val="0054773E"/>
    <w:rsid w:val="00550320"/>
    <w:rsid w:val="00557322"/>
    <w:rsid w:val="00557802"/>
    <w:rsid w:val="00565497"/>
    <w:rsid w:val="00566EAD"/>
    <w:rsid w:val="0057390D"/>
    <w:rsid w:val="00573FE7"/>
    <w:rsid w:val="00576402"/>
    <w:rsid w:val="00581EDA"/>
    <w:rsid w:val="00585C9C"/>
    <w:rsid w:val="0058759F"/>
    <w:rsid w:val="0059567A"/>
    <w:rsid w:val="005A1FE1"/>
    <w:rsid w:val="005A51FE"/>
    <w:rsid w:val="005B095B"/>
    <w:rsid w:val="005B21A2"/>
    <w:rsid w:val="005B3970"/>
    <w:rsid w:val="005B446F"/>
    <w:rsid w:val="005C0384"/>
    <w:rsid w:val="005D0BAE"/>
    <w:rsid w:val="005D187F"/>
    <w:rsid w:val="005D3A14"/>
    <w:rsid w:val="005D3E86"/>
    <w:rsid w:val="005D4171"/>
    <w:rsid w:val="005D43DE"/>
    <w:rsid w:val="005E3372"/>
    <w:rsid w:val="005E5320"/>
    <w:rsid w:val="005E65DF"/>
    <w:rsid w:val="00600CDC"/>
    <w:rsid w:val="00603BAF"/>
    <w:rsid w:val="006064C0"/>
    <w:rsid w:val="0060716B"/>
    <w:rsid w:val="006108BD"/>
    <w:rsid w:val="00613E58"/>
    <w:rsid w:val="00615005"/>
    <w:rsid w:val="00625B16"/>
    <w:rsid w:val="00625B26"/>
    <w:rsid w:val="006262FF"/>
    <w:rsid w:val="00626435"/>
    <w:rsid w:val="0062748A"/>
    <w:rsid w:val="006409FF"/>
    <w:rsid w:val="0064310B"/>
    <w:rsid w:val="00645861"/>
    <w:rsid w:val="00646C8C"/>
    <w:rsid w:val="00654D87"/>
    <w:rsid w:val="006815B5"/>
    <w:rsid w:val="00691893"/>
    <w:rsid w:val="00693BA1"/>
    <w:rsid w:val="006A468E"/>
    <w:rsid w:val="006A5FFD"/>
    <w:rsid w:val="006B3C7E"/>
    <w:rsid w:val="006B6CF8"/>
    <w:rsid w:val="006C021A"/>
    <w:rsid w:val="006C155B"/>
    <w:rsid w:val="006C502B"/>
    <w:rsid w:val="006D516C"/>
    <w:rsid w:val="006E07A2"/>
    <w:rsid w:val="006E0EF4"/>
    <w:rsid w:val="006F0673"/>
    <w:rsid w:val="006F39A7"/>
    <w:rsid w:val="006F40E8"/>
    <w:rsid w:val="006F5F8A"/>
    <w:rsid w:val="007011DB"/>
    <w:rsid w:val="0070306E"/>
    <w:rsid w:val="00716589"/>
    <w:rsid w:val="0072513C"/>
    <w:rsid w:val="00736B57"/>
    <w:rsid w:val="00746908"/>
    <w:rsid w:val="0075112F"/>
    <w:rsid w:val="00760299"/>
    <w:rsid w:val="007666E9"/>
    <w:rsid w:val="007719B2"/>
    <w:rsid w:val="00775976"/>
    <w:rsid w:val="0077771C"/>
    <w:rsid w:val="007821A7"/>
    <w:rsid w:val="00785840"/>
    <w:rsid w:val="00790646"/>
    <w:rsid w:val="007A7D55"/>
    <w:rsid w:val="007B32B0"/>
    <w:rsid w:val="007B3AF8"/>
    <w:rsid w:val="007C46E3"/>
    <w:rsid w:val="007D592A"/>
    <w:rsid w:val="007E7819"/>
    <w:rsid w:val="00801465"/>
    <w:rsid w:val="00805B4B"/>
    <w:rsid w:val="008074A2"/>
    <w:rsid w:val="008079C6"/>
    <w:rsid w:val="00807B8A"/>
    <w:rsid w:val="00810AB6"/>
    <w:rsid w:val="00811455"/>
    <w:rsid w:val="008127D0"/>
    <w:rsid w:val="00812F2C"/>
    <w:rsid w:val="008349F9"/>
    <w:rsid w:val="0083600C"/>
    <w:rsid w:val="008427F7"/>
    <w:rsid w:val="0084376C"/>
    <w:rsid w:val="00843C15"/>
    <w:rsid w:val="00846726"/>
    <w:rsid w:val="008567BB"/>
    <w:rsid w:val="0087131F"/>
    <w:rsid w:val="00884261"/>
    <w:rsid w:val="008947B2"/>
    <w:rsid w:val="00896AB9"/>
    <w:rsid w:val="008A21C1"/>
    <w:rsid w:val="008A39D2"/>
    <w:rsid w:val="008C0934"/>
    <w:rsid w:val="008D5F6B"/>
    <w:rsid w:val="008E15D7"/>
    <w:rsid w:val="008E17C6"/>
    <w:rsid w:val="009001CB"/>
    <w:rsid w:val="00906107"/>
    <w:rsid w:val="00910EA5"/>
    <w:rsid w:val="00912C04"/>
    <w:rsid w:val="009140E4"/>
    <w:rsid w:val="00914E2A"/>
    <w:rsid w:val="00915C2E"/>
    <w:rsid w:val="0092120F"/>
    <w:rsid w:val="0092163F"/>
    <w:rsid w:val="009368BA"/>
    <w:rsid w:val="009375E7"/>
    <w:rsid w:val="00942E49"/>
    <w:rsid w:val="009462B5"/>
    <w:rsid w:val="00947E72"/>
    <w:rsid w:val="00954439"/>
    <w:rsid w:val="00956A65"/>
    <w:rsid w:val="009573E7"/>
    <w:rsid w:val="00961272"/>
    <w:rsid w:val="00965663"/>
    <w:rsid w:val="00971FC2"/>
    <w:rsid w:val="00994ED3"/>
    <w:rsid w:val="009965C6"/>
    <w:rsid w:val="009A1FBA"/>
    <w:rsid w:val="009B072C"/>
    <w:rsid w:val="009B32DC"/>
    <w:rsid w:val="009B7BFA"/>
    <w:rsid w:val="009C19A4"/>
    <w:rsid w:val="009C23A3"/>
    <w:rsid w:val="009D1BE9"/>
    <w:rsid w:val="009D6EED"/>
    <w:rsid w:val="009E510B"/>
    <w:rsid w:val="009E693E"/>
    <w:rsid w:val="00A00AFD"/>
    <w:rsid w:val="00A00FFA"/>
    <w:rsid w:val="00A06777"/>
    <w:rsid w:val="00A10D06"/>
    <w:rsid w:val="00A12E6C"/>
    <w:rsid w:val="00A3300A"/>
    <w:rsid w:val="00A35400"/>
    <w:rsid w:val="00A44282"/>
    <w:rsid w:val="00A45A8F"/>
    <w:rsid w:val="00A53FAB"/>
    <w:rsid w:val="00A66E12"/>
    <w:rsid w:val="00A70232"/>
    <w:rsid w:val="00A7096D"/>
    <w:rsid w:val="00A736C2"/>
    <w:rsid w:val="00A82AD3"/>
    <w:rsid w:val="00A83257"/>
    <w:rsid w:val="00A875E7"/>
    <w:rsid w:val="00A913BC"/>
    <w:rsid w:val="00A93188"/>
    <w:rsid w:val="00AB6EE0"/>
    <w:rsid w:val="00AC1448"/>
    <w:rsid w:val="00AC4E69"/>
    <w:rsid w:val="00AD0968"/>
    <w:rsid w:val="00AD2179"/>
    <w:rsid w:val="00AD4A6F"/>
    <w:rsid w:val="00AE13D5"/>
    <w:rsid w:val="00AE2DA3"/>
    <w:rsid w:val="00AF4642"/>
    <w:rsid w:val="00B005AA"/>
    <w:rsid w:val="00B331B5"/>
    <w:rsid w:val="00B40B9E"/>
    <w:rsid w:val="00B41ACE"/>
    <w:rsid w:val="00B42543"/>
    <w:rsid w:val="00B452A3"/>
    <w:rsid w:val="00B477D9"/>
    <w:rsid w:val="00B60DC0"/>
    <w:rsid w:val="00B63142"/>
    <w:rsid w:val="00B63F03"/>
    <w:rsid w:val="00B674C8"/>
    <w:rsid w:val="00B67EE7"/>
    <w:rsid w:val="00B736F6"/>
    <w:rsid w:val="00B73DBB"/>
    <w:rsid w:val="00B81069"/>
    <w:rsid w:val="00B823A0"/>
    <w:rsid w:val="00B829DA"/>
    <w:rsid w:val="00B84853"/>
    <w:rsid w:val="00B8771E"/>
    <w:rsid w:val="00BA1FF8"/>
    <w:rsid w:val="00BB4DFF"/>
    <w:rsid w:val="00BC3217"/>
    <w:rsid w:val="00BC6603"/>
    <w:rsid w:val="00BD2422"/>
    <w:rsid w:val="00BD304D"/>
    <w:rsid w:val="00BD7301"/>
    <w:rsid w:val="00BD7B6D"/>
    <w:rsid w:val="00BE5394"/>
    <w:rsid w:val="00BF67A0"/>
    <w:rsid w:val="00BF6C5B"/>
    <w:rsid w:val="00C01976"/>
    <w:rsid w:val="00C06EB4"/>
    <w:rsid w:val="00C16D55"/>
    <w:rsid w:val="00C20837"/>
    <w:rsid w:val="00C2355E"/>
    <w:rsid w:val="00C27380"/>
    <w:rsid w:val="00C35720"/>
    <w:rsid w:val="00C36129"/>
    <w:rsid w:val="00C4427C"/>
    <w:rsid w:val="00C53D01"/>
    <w:rsid w:val="00C61D16"/>
    <w:rsid w:val="00C62768"/>
    <w:rsid w:val="00C639D9"/>
    <w:rsid w:val="00C71399"/>
    <w:rsid w:val="00C71791"/>
    <w:rsid w:val="00C71EB7"/>
    <w:rsid w:val="00CA5F93"/>
    <w:rsid w:val="00CA60C9"/>
    <w:rsid w:val="00CB5BE8"/>
    <w:rsid w:val="00CB6AED"/>
    <w:rsid w:val="00CC10A1"/>
    <w:rsid w:val="00CC4A1F"/>
    <w:rsid w:val="00CC62F2"/>
    <w:rsid w:val="00CD2359"/>
    <w:rsid w:val="00CF7486"/>
    <w:rsid w:val="00CF7DF4"/>
    <w:rsid w:val="00D00840"/>
    <w:rsid w:val="00D011D2"/>
    <w:rsid w:val="00D05C4A"/>
    <w:rsid w:val="00D1370B"/>
    <w:rsid w:val="00D13940"/>
    <w:rsid w:val="00D16950"/>
    <w:rsid w:val="00D310CA"/>
    <w:rsid w:val="00D4333F"/>
    <w:rsid w:val="00D476D4"/>
    <w:rsid w:val="00D5258F"/>
    <w:rsid w:val="00D5569F"/>
    <w:rsid w:val="00D63745"/>
    <w:rsid w:val="00D67AC4"/>
    <w:rsid w:val="00D76D82"/>
    <w:rsid w:val="00D8277C"/>
    <w:rsid w:val="00D8286C"/>
    <w:rsid w:val="00D832FE"/>
    <w:rsid w:val="00D84C64"/>
    <w:rsid w:val="00D86CE7"/>
    <w:rsid w:val="00D90844"/>
    <w:rsid w:val="00D939AF"/>
    <w:rsid w:val="00DA0FE9"/>
    <w:rsid w:val="00DA1751"/>
    <w:rsid w:val="00DB45A2"/>
    <w:rsid w:val="00DC2ED1"/>
    <w:rsid w:val="00DD1E52"/>
    <w:rsid w:val="00DD2FA2"/>
    <w:rsid w:val="00DE60CF"/>
    <w:rsid w:val="00DF03DD"/>
    <w:rsid w:val="00E10E19"/>
    <w:rsid w:val="00E13D1C"/>
    <w:rsid w:val="00E15119"/>
    <w:rsid w:val="00E22116"/>
    <w:rsid w:val="00E35340"/>
    <w:rsid w:val="00E4375C"/>
    <w:rsid w:val="00E456B7"/>
    <w:rsid w:val="00E45A73"/>
    <w:rsid w:val="00E45DAF"/>
    <w:rsid w:val="00E5026B"/>
    <w:rsid w:val="00E55885"/>
    <w:rsid w:val="00E61123"/>
    <w:rsid w:val="00E626A2"/>
    <w:rsid w:val="00E63DA2"/>
    <w:rsid w:val="00E704EB"/>
    <w:rsid w:val="00E81D7B"/>
    <w:rsid w:val="00E921EA"/>
    <w:rsid w:val="00E927D2"/>
    <w:rsid w:val="00E958AF"/>
    <w:rsid w:val="00E97602"/>
    <w:rsid w:val="00EB0E6C"/>
    <w:rsid w:val="00EB1AC1"/>
    <w:rsid w:val="00EB5709"/>
    <w:rsid w:val="00EB64AF"/>
    <w:rsid w:val="00EC0467"/>
    <w:rsid w:val="00EC10DC"/>
    <w:rsid w:val="00EC59F2"/>
    <w:rsid w:val="00ED5098"/>
    <w:rsid w:val="00ED557F"/>
    <w:rsid w:val="00ED7BA3"/>
    <w:rsid w:val="00EE0397"/>
    <w:rsid w:val="00EE2FE4"/>
    <w:rsid w:val="00EE3472"/>
    <w:rsid w:val="00EE4727"/>
    <w:rsid w:val="00EF1AD6"/>
    <w:rsid w:val="00EF2C0F"/>
    <w:rsid w:val="00EF3CDC"/>
    <w:rsid w:val="00F0615C"/>
    <w:rsid w:val="00F06758"/>
    <w:rsid w:val="00F1307C"/>
    <w:rsid w:val="00F2238E"/>
    <w:rsid w:val="00F24782"/>
    <w:rsid w:val="00F24F21"/>
    <w:rsid w:val="00F261AF"/>
    <w:rsid w:val="00F273F1"/>
    <w:rsid w:val="00F448D4"/>
    <w:rsid w:val="00F51A70"/>
    <w:rsid w:val="00F673B7"/>
    <w:rsid w:val="00F75F10"/>
    <w:rsid w:val="00F761BD"/>
    <w:rsid w:val="00F76942"/>
    <w:rsid w:val="00F776C7"/>
    <w:rsid w:val="00F777A1"/>
    <w:rsid w:val="00F81D9A"/>
    <w:rsid w:val="00F85319"/>
    <w:rsid w:val="00F86C7F"/>
    <w:rsid w:val="00FA0F22"/>
    <w:rsid w:val="00FA3F73"/>
    <w:rsid w:val="00FB3DD3"/>
    <w:rsid w:val="00FC28C6"/>
    <w:rsid w:val="00FC351D"/>
    <w:rsid w:val="00FC65BA"/>
    <w:rsid w:val="00FD39D9"/>
    <w:rsid w:val="00FE2962"/>
    <w:rsid w:val="00FE6798"/>
    <w:rsid w:val="00FF2DC7"/>
    <w:rsid w:val="00FF3AFB"/>
    <w:rsid w:val="00FF5C7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30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qFormat/>
    <w:rsid w:val="00406D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06D3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header"/>
    <w:basedOn w:val="a"/>
    <w:link w:val="a4"/>
    <w:rsid w:val="00406D3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406D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406D30"/>
    <w:pPr>
      <w:jc w:val="both"/>
    </w:pPr>
    <w:rPr>
      <w:sz w:val="36"/>
      <w:lang w:val="uk-UA"/>
    </w:rPr>
  </w:style>
  <w:style w:type="character" w:customStyle="1" w:styleId="a6">
    <w:name w:val="Основной текст Знак"/>
    <w:link w:val="a5"/>
    <w:rsid w:val="00406D30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2">
    <w:name w:val="Body Text 2"/>
    <w:basedOn w:val="a"/>
    <w:link w:val="20"/>
    <w:rsid w:val="00406D30"/>
    <w:pPr>
      <w:jc w:val="both"/>
    </w:pPr>
    <w:rPr>
      <w:sz w:val="24"/>
      <w:lang w:val="uk-UA"/>
    </w:rPr>
  </w:style>
  <w:style w:type="character" w:customStyle="1" w:styleId="20">
    <w:name w:val="Основной текст 2 Знак"/>
    <w:link w:val="2"/>
    <w:rsid w:val="00406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Title"/>
    <w:basedOn w:val="a"/>
    <w:link w:val="a8"/>
    <w:qFormat/>
    <w:rsid w:val="00406D30"/>
    <w:pPr>
      <w:jc w:val="center"/>
    </w:pPr>
    <w:rPr>
      <w:b/>
      <w:sz w:val="28"/>
      <w:lang w:val="uk-UA"/>
    </w:rPr>
  </w:style>
  <w:style w:type="character" w:customStyle="1" w:styleId="a8">
    <w:name w:val="Название Знак"/>
    <w:link w:val="a7"/>
    <w:rsid w:val="00406D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Standard">
    <w:name w:val="Standard"/>
    <w:rsid w:val="00F448D4"/>
    <w:rPr>
      <w:rFonts w:ascii="Arial" w:eastAsia="Times New Roman" w:hAnsi="Arial"/>
      <w:snapToGrid w:val="0"/>
      <w:sz w:val="24"/>
    </w:rPr>
  </w:style>
  <w:style w:type="paragraph" w:customStyle="1" w:styleId="31">
    <w:name w:val="Основной текст с отступом 31"/>
    <w:basedOn w:val="a"/>
    <w:rsid w:val="00BD2422"/>
    <w:pPr>
      <w:widowControl w:val="0"/>
      <w:suppressAutoHyphens/>
      <w:ind w:firstLine="720"/>
      <w:jc w:val="both"/>
    </w:pPr>
    <w:rPr>
      <w:b/>
      <w:sz w:val="24"/>
      <w:lang w:val="uk-UA" w:eastAsia="ar-SA"/>
    </w:rPr>
  </w:style>
  <w:style w:type="paragraph" w:styleId="a9">
    <w:name w:val="footer"/>
    <w:basedOn w:val="a"/>
    <w:link w:val="aa"/>
    <w:uiPriority w:val="99"/>
    <w:rsid w:val="006F0673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F0673"/>
  </w:style>
  <w:style w:type="paragraph" w:styleId="ac">
    <w:name w:val="Balloon Text"/>
    <w:basedOn w:val="a"/>
    <w:link w:val="ad"/>
    <w:uiPriority w:val="99"/>
    <w:semiHidden/>
    <w:unhideWhenUsed/>
    <w:rsid w:val="00315F1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15F1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Нижний колонтитул Знак"/>
    <w:link w:val="a9"/>
    <w:uiPriority w:val="99"/>
    <w:rsid w:val="00245DA1"/>
    <w:rPr>
      <w:rFonts w:ascii="Times New Roman" w:eastAsia="Times New Roman" w:hAnsi="Times New Roman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EC59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59F2"/>
  </w:style>
  <w:style w:type="character" w:customStyle="1" w:styleId="af0">
    <w:name w:val="Текст примечания Знак"/>
    <w:basedOn w:val="a0"/>
    <w:link w:val="af"/>
    <w:uiPriority w:val="99"/>
    <w:semiHidden/>
    <w:rsid w:val="00EC59F2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59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59F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6670</Words>
  <Characters>3803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Коротка характеристика</vt:lpstr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</dc:title>
  <dc:creator>Feo203-3</dc:creator>
  <cp:lastModifiedBy>expert_13</cp:lastModifiedBy>
  <cp:revision>20</cp:revision>
  <cp:lastPrinted>2025-02-11T07:26:00Z</cp:lastPrinted>
  <dcterms:created xsi:type="dcterms:W3CDTF">2024-09-12T06:33:00Z</dcterms:created>
  <dcterms:modified xsi:type="dcterms:W3CDTF">2025-03-21T08:18:00Z</dcterms:modified>
</cp:coreProperties>
</file>