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DF" w:rsidRDefault="00CD5ECF" w:rsidP="00CD5E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CD5ECF" w:rsidRDefault="00CD5ECF" w:rsidP="00595691">
      <w:pPr>
        <w:spacing w:after="0"/>
        <w:ind w:left="2880"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реєстраційного посвідчення</w:t>
      </w:r>
    </w:p>
    <w:p w:rsidR="00CD5ECF" w:rsidRDefault="00CD5ECF" w:rsidP="00CD5E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43387" w:rsidRDefault="00A43387" w:rsidP="00CD5ECF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5ECF" w:rsidRDefault="00CD5ECF" w:rsidP="00CD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ECF">
        <w:rPr>
          <w:rFonts w:ascii="Times New Roman" w:hAnsi="Times New Roman" w:cs="Times New Roman"/>
          <w:b/>
          <w:sz w:val="24"/>
          <w:szCs w:val="24"/>
          <w:lang w:val="uk-UA"/>
        </w:rPr>
        <w:t>Коротка характеристика препарату</w:t>
      </w:r>
    </w:p>
    <w:p w:rsidR="00CD5ECF" w:rsidRDefault="00CD5ECF" w:rsidP="00CD5E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5ECF" w:rsidRDefault="00CD5ECF" w:rsidP="00CD5E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ECF">
        <w:rPr>
          <w:rFonts w:ascii="Times New Roman" w:hAnsi="Times New Roman" w:cs="Times New Roman"/>
          <w:b/>
          <w:sz w:val="24"/>
          <w:szCs w:val="24"/>
          <w:lang w:val="uk-UA"/>
        </w:rPr>
        <w:t>Назва</w:t>
      </w:r>
    </w:p>
    <w:p w:rsidR="00CD5ECF" w:rsidRDefault="00CD5ECF" w:rsidP="00CD5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ECF">
        <w:rPr>
          <w:rFonts w:ascii="Times New Roman" w:hAnsi="Times New Roman" w:cs="Times New Roman"/>
          <w:sz w:val="24"/>
          <w:szCs w:val="24"/>
          <w:lang w:val="uk-UA"/>
        </w:rPr>
        <w:t>Розчин натрію хлориду гіпертонічний 10%</w:t>
      </w:r>
    </w:p>
    <w:p w:rsidR="00CD5ECF" w:rsidRDefault="00CD5ECF" w:rsidP="00CD5EC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5ECF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</w:p>
    <w:p w:rsidR="00CD5ECF" w:rsidRDefault="00CD5ECF" w:rsidP="00CD5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5ECF">
        <w:rPr>
          <w:rFonts w:ascii="Times New Roman" w:hAnsi="Times New Roman" w:cs="Times New Roman"/>
          <w:sz w:val="24"/>
          <w:szCs w:val="24"/>
          <w:lang w:val="uk-UA"/>
        </w:rPr>
        <w:t>100 мл препарату містять діючу речовину</w:t>
      </w:r>
      <w:r w:rsidR="00224D4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D5ECF" w:rsidRDefault="0057791B" w:rsidP="00CD5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натрію хлорид</w:t>
      </w:r>
      <w:r w:rsidR="00CD5ECF" w:rsidRPr="00CD5ECF">
        <w:rPr>
          <w:rFonts w:ascii="Times New Roman" w:hAnsi="Times New Roman" w:cs="Times New Roman"/>
          <w:sz w:val="24"/>
          <w:szCs w:val="24"/>
          <w:lang w:val="uk-UA"/>
        </w:rPr>
        <w:t xml:space="preserve"> - 10 г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91B" w:rsidRDefault="0057791B" w:rsidP="00CD5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sz w:val="24"/>
          <w:szCs w:val="24"/>
          <w:lang w:val="uk-UA"/>
        </w:rPr>
        <w:t>Допоміжна речовина: вода для ін’єкцій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91B" w:rsidRDefault="0057791B" w:rsidP="005779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Фармацевтична (лікарська)</w:t>
      </w:r>
      <w:r w:rsidRPr="005779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форма</w:t>
      </w:r>
    </w:p>
    <w:p w:rsidR="0057791B" w:rsidRDefault="0057791B" w:rsidP="005779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sz w:val="24"/>
          <w:szCs w:val="24"/>
          <w:lang w:val="uk-UA"/>
        </w:rPr>
        <w:t>Розчин для ін’єкцій</w:t>
      </w:r>
    </w:p>
    <w:p w:rsidR="0057791B" w:rsidRDefault="0057791B" w:rsidP="005779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b/>
          <w:sz w:val="24"/>
          <w:szCs w:val="24"/>
          <w:lang w:val="uk-UA"/>
        </w:rPr>
        <w:t>Фармакологічні властивості</w:t>
      </w:r>
    </w:p>
    <w:p w:rsidR="0057791B" w:rsidRDefault="0057791B" w:rsidP="0057791B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АТС- </w:t>
      </w:r>
      <w:proofErr w:type="spellStart"/>
      <w:r w:rsidRPr="0057791B">
        <w:rPr>
          <w:rFonts w:ascii="Times New Roman" w:hAnsi="Times New Roman" w:cs="Times New Roman"/>
          <w:b/>
          <w:i/>
          <w:sz w:val="24"/>
          <w:szCs w:val="24"/>
          <w:lang w:val="uk-UA"/>
        </w:rPr>
        <w:t>vet</w:t>
      </w:r>
      <w:proofErr w:type="spellEnd"/>
      <w:r w:rsidRPr="0057791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класифікаційний код: QВ05 - Кровозамінники та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перфузійні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розчини. QВ05СВ01- </w:t>
      </w:r>
      <w:r w:rsidRPr="0057791B">
        <w:rPr>
          <w:rFonts w:ascii="Times New Roman" w:hAnsi="Times New Roman" w:cs="Times New Roman"/>
          <w:b/>
          <w:i/>
          <w:sz w:val="24"/>
          <w:szCs w:val="24"/>
          <w:lang w:val="uk-UA"/>
        </w:rPr>
        <w:t>Натрію хлорид.</w:t>
      </w:r>
    </w:p>
    <w:p w:rsidR="0057791B" w:rsidRPr="0057791B" w:rsidRDefault="0057791B" w:rsidP="005779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sz w:val="24"/>
          <w:szCs w:val="24"/>
          <w:lang w:val="uk-UA"/>
        </w:rPr>
        <w:t>Розчин натрію хлориду гіпертонічний 10 % регулює водний і мінеральний обміни, осмотичний та кислотно–лужний баланс, моторну і секреторну функції травного каналу, видільну функцію нирок та діурез; має рефлекторну, резорбційну, антитоксичну дії; подразнює рецептори вен, серця, легень та органів черевної порожнини; активізує імун</w:t>
      </w:r>
      <w:r w:rsidR="00224D44">
        <w:rPr>
          <w:rFonts w:ascii="Times New Roman" w:hAnsi="Times New Roman" w:cs="Times New Roman"/>
          <w:sz w:val="24"/>
          <w:szCs w:val="24"/>
          <w:lang w:val="uk-UA"/>
        </w:rPr>
        <w:t xml:space="preserve">обіологічні реакції організму. </w:t>
      </w:r>
      <w:r w:rsidRPr="0057791B">
        <w:rPr>
          <w:rFonts w:ascii="Times New Roman" w:hAnsi="Times New Roman" w:cs="Times New Roman"/>
          <w:sz w:val="24"/>
          <w:szCs w:val="24"/>
          <w:lang w:val="uk-UA"/>
        </w:rPr>
        <w:t>Натрій є основним катіоном міжклітинного простору, який контролює переважно розподіл води, баланс рідини та осмотичний тиск у рідинах організму. Хлор є основним аніоном міжклітинного простору, він тісно пов’язаний з метаболізмом натрію та змінює кислотно-лужний баланс організму у відповідь на зміну концентрації хлоридів. Асоціація іонів натрію з іонами хлору та бікарбонату регулює кислотно-лужний баланс рідин організму.</w:t>
      </w:r>
    </w:p>
    <w:p w:rsidR="00CD5ECF" w:rsidRDefault="0057791B" w:rsidP="0057791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sz w:val="24"/>
          <w:szCs w:val="24"/>
          <w:lang w:val="uk-UA"/>
        </w:rPr>
        <w:t xml:space="preserve">Після введення розчин натрію хлориду гіпертонічний 10 % швидко розподіляється по всіх тканинах організму, практично не </w:t>
      </w:r>
      <w:proofErr w:type="spellStart"/>
      <w:r w:rsidRPr="0057791B">
        <w:rPr>
          <w:rFonts w:ascii="Times New Roman" w:hAnsi="Times New Roman" w:cs="Times New Roman"/>
          <w:sz w:val="24"/>
          <w:szCs w:val="24"/>
          <w:lang w:val="uk-UA"/>
        </w:rPr>
        <w:t>метаболізується</w:t>
      </w:r>
      <w:proofErr w:type="spellEnd"/>
      <w:r w:rsidRPr="0057791B">
        <w:rPr>
          <w:rFonts w:ascii="Times New Roman" w:hAnsi="Times New Roman" w:cs="Times New Roman"/>
          <w:sz w:val="24"/>
          <w:szCs w:val="24"/>
          <w:lang w:val="uk-UA"/>
        </w:rPr>
        <w:t>. Виводиться нирками у незмінному вигляді, але при цьому велика кількість натрію піддається реабсорбції. Невелика кількість натрію виводиться з фекаліями та з потом.</w:t>
      </w:r>
    </w:p>
    <w:p w:rsidR="0057791B" w:rsidRDefault="0057791B" w:rsidP="005779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b/>
          <w:sz w:val="24"/>
          <w:szCs w:val="24"/>
          <w:lang w:val="uk-UA"/>
        </w:rPr>
        <w:t>Клінічні особливості</w:t>
      </w:r>
    </w:p>
    <w:p w:rsidR="0057791B" w:rsidRDefault="0057791B" w:rsidP="0057791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Вид тварин</w:t>
      </w:r>
    </w:p>
    <w:p w:rsidR="0057791B" w:rsidRDefault="0057791B" w:rsidP="005779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sz w:val="24"/>
          <w:szCs w:val="24"/>
          <w:lang w:val="uk-UA"/>
        </w:rPr>
        <w:t>Велика рогата худоба,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791B">
        <w:rPr>
          <w:rFonts w:ascii="Times New Roman" w:hAnsi="Times New Roman" w:cs="Times New Roman"/>
          <w:sz w:val="24"/>
          <w:szCs w:val="24"/>
          <w:lang w:val="uk-UA"/>
        </w:rPr>
        <w:t>коні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7791B" w:rsidRDefault="0057791B" w:rsidP="005779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b/>
          <w:sz w:val="24"/>
          <w:szCs w:val="24"/>
          <w:lang w:val="uk-UA"/>
        </w:rPr>
        <w:t>5.2 Показання до застосування</w:t>
      </w:r>
    </w:p>
    <w:p w:rsidR="0057791B" w:rsidRDefault="0057791B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sz w:val="24"/>
          <w:szCs w:val="24"/>
          <w:lang w:val="uk-UA"/>
        </w:rPr>
        <w:t xml:space="preserve">Як допоміжна терапія при лікуванні коней та великої рогатої худоби за атонії передшлунків, парезі рубця; гострого розширення </w:t>
      </w:r>
      <w:proofErr w:type="spellStart"/>
      <w:r w:rsidRPr="0057791B">
        <w:rPr>
          <w:rFonts w:ascii="Times New Roman" w:hAnsi="Times New Roman" w:cs="Times New Roman"/>
          <w:sz w:val="24"/>
          <w:szCs w:val="24"/>
          <w:lang w:val="uk-UA"/>
        </w:rPr>
        <w:t>шлунка</w:t>
      </w:r>
      <w:proofErr w:type="spellEnd"/>
      <w:r w:rsidRPr="0057791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7791B">
        <w:rPr>
          <w:rFonts w:ascii="Times New Roman" w:hAnsi="Times New Roman" w:cs="Times New Roman"/>
          <w:sz w:val="24"/>
          <w:szCs w:val="24"/>
          <w:lang w:val="uk-UA"/>
        </w:rPr>
        <w:t>хімостазів</w:t>
      </w:r>
      <w:proofErr w:type="spellEnd"/>
      <w:r w:rsidRPr="0057791B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57791B">
        <w:rPr>
          <w:rFonts w:ascii="Times New Roman" w:hAnsi="Times New Roman" w:cs="Times New Roman"/>
          <w:sz w:val="24"/>
          <w:szCs w:val="24"/>
          <w:lang w:val="uk-UA"/>
        </w:rPr>
        <w:t>копростаів</w:t>
      </w:r>
      <w:proofErr w:type="spellEnd"/>
      <w:r w:rsidRPr="0057791B">
        <w:rPr>
          <w:rFonts w:ascii="Times New Roman" w:hAnsi="Times New Roman" w:cs="Times New Roman"/>
          <w:sz w:val="24"/>
          <w:szCs w:val="24"/>
          <w:lang w:val="uk-UA"/>
        </w:rPr>
        <w:t>; а також за захворювань травного каналу телят раннього віку (токсична диспепсія), що супроводжуються діареєю та зневодненням організму.</w:t>
      </w:r>
    </w:p>
    <w:p w:rsidR="0057791B" w:rsidRDefault="0057791B" w:rsidP="005779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791B">
        <w:rPr>
          <w:rFonts w:ascii="Times New Roman" w:hAnsi="Times New Roman" w:cs="Times New Roman"/>
          <w:b/>
          <w:sz w:val="24"/>
          <w:szCs w:val="24"/>
          <w:lang w:val="uk-UA"/>
        </w:rPr>
        <w:t>5.3 Протипоказання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>Не застосовувати за травматичного п</w:t>
      </w:r>
      <w:r>
        <w:rPr>
          <w:rFonts w:ascii="Times New Roman" w:hAnsi="Times New Roman" w:cs="Times New Roman"/>
          <w:sz w:val="24"/>
          <w:szCs w:val="24"/>
          <w:lang w:val="uk-UA"/>
        </w:rPr>
        <w:t>ерикардиту у жуйних тварин</w:t>
      </w:r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, отруєння кухонною сіллю, ацидозу,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гіпергідратація</w:t>
      </w:r>
      <w:proofErr w:type="spellEnd"/>
      <w:r w:rsidRPr="00595691">
        <w:rPr>
          <w:rFonts w:ascii="Times New Roman" w:hAnsi="Times New Roman" w:cs="Times New Roman"/>
          <w:sz w:val="24"/>
          <w:szCs w:val="24"/>
          <w:lang w:val="uk-UA"/>
        </w:rPr>
        <w:t>, затримці рідини.</w:t>
      </w:r>
    </w:p>
    <w:p w:rsid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>З обережністю застосовувати при  нирковій та серцевій недостатності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Не вводити препарат підшкірно,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внутрішньом’язово</w:t>
      </w:r>
      <w:proofErr w:type="spellEnd"/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внутрішньочеревно</w:t>
      </w:r>
      <w:proofErr w:type="spellEnd"/>
      <w:r w:rsidR="00CF744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b/>
          <w:sz w:val="24"/>
          <w:szCs w:val="24"/>
          <w:lang w:val="uk-UA"/>
        </w:rPr>
        <w:t>5.4 Побічна дія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Введення великих об’ємів розчину натрію хлориду гіпертонічного 10% може привести до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гіпергідратації</w:t>
      </w:r>
      <w:proofErr w:type="spellEnd"/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, набряку мозку і легень, гемолізу еритроцитів,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гемоглобінурії</w:t>
      </w:r>
      <w:proofErr w:type="spellEnd"/>
      <w:r w:rsidRPr="00595691">
        <w:rPr>
          <w:rFonts w:ascii="Times New Roman" w:hAnsi="Times New Roman" w:cs="Times New Roman"/>
          <w:sz w:val="24"/>
          <w:szCs w:val="24"/>
          <w:lang w:val="uk-UA"/>
        </w:rPr>
        <w:t>, порушення серцевої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3387" w:rsidRDefault="00A43387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387" w:rsidRPr="00A43387" w:rsidRDefault="00A43387" w:rsidP="00A43387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sz w:val="24"/>
          <w:szCs w:val="24"/>
          <w:lang w:val="uk-UA"/>
        </w:rPr>
        <w:t>Продовження додатку 1</w:t>
      </w:r>
    </w:p>
    <w:p w:rsidR="00A43387" w:rsidRDefault="00A43387" w:rsidP="00F82B90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sz w:val="24"/>
          <w:szCs w:val="24"/>
          <w:lang w:val="uk-UA"/>
        </w:rPr>
        <w:t>до реєстраційного посвідчення</w:t>
      </w:r>
    </w:p>
    <w:p w:rsidR="00F82B90" w:rsidRDefault="00F82B90" w:rsidP="00F82B90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82B90" w:rsidRDefault="00F82B90" w:rsidP="00F82B90">
      <w:pPr>
        <w:spacing w:after="0"/>
        <w:ind w:left="2160" w:firstLine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b/>
          <w:sz w:val="24"/>
          <w:szCs w:val="24"/>
          <w:lang w:val="uk-UA"/>
        </w:rPr>
        <w:t>5.5 Особливі застереження при використанні</w:t>
      </w:r>
    </w:p>
    <w:p w:rsidR="00595691" w:rsidRP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Не вводити препарат підшкірно,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внутрішньом’язово</w:t>
      </w:r>
      <w:proofErr w:type="spellEnd"/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внутрішньочеревно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Слід бути особливо обережним, коли ветеринарний лікарський засіб застосовується в клінічних випадках пов’язаних з ацидозом і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гіперхлоремією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 xml:space="preserve">Застосування натрію хлориду може посилити вже існуючу </w:t>
      </w:r>
      <w:proofErr w:type="spellStart"/>
      <w:r w:rsidRPr="00595691">
        <w:rPr>
          <w:rFonts w:ascii="Times New Roman" w:hAnsi="Times New Roman" w:cs="Times New Roman"/>
          <w:sz w:val="24"/>
          <w:szCs w:val="24"/>
          <w:lang w:val="uk-UA"/>
        </w:rPr>
        <w:t>гіпокаліємію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956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>Слід ретельно спостерігати за тваринами, яких лікують цим в</w:t>
      </w:r>
      <w:r>
        <w:rPr>
          <w:rFonts w:ascii="Times New Roman" w:hAnsi="Times New Roman" w:cs="Times New Roman"/>
          <w:sz w:val="24"/>
          <w:szCs w:val="24"/>
          <w:lang w:val="uk-UA"/>
        </w:rPr>
        <w:t>етеринарним лікарським засобом,</w:t>
      </w:r>
    </w:p>
    <w:p w:rsidR="00595691" w:rsidRDefault="00595691" w:rsidP="0059569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>оскільки можливе потенційне погіршення їх клінічного стану після лікування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7791B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b/>
          <w:sz w:val="24"/>
          <w:szCs w:val="24"/>
          <w:lang w:val="uk-UA"/>
        </w:rPr>
        <w:t>5.6 Використання під час вагітності, лактації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>Безпека препарату під час вагітності та лактації не встановлена. Застосування слід проводити лише після оцінки співвідношення користь/ризик встановленого відповідальним ветеринаром.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b/>
          <w:sz w:val="24"/>
          <w:szCs w:val="24"/>
          <w:lang w:val="uk-UA"/>
        </w:rPr>
        <w:t>5.7 Взаємодія з іншими засобами та інші форми взаємодії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sz w:val="24"/>
          <w:szCs w:val="24"/>
          <w:lang w:val="uk-UA"/>
        </w:rPr>
        <w:t>Застосування кортикостероїдів або стероїдів може привести до затримки води та іонів натрію і хлору в організмі з розвитком набряків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95691" w:rsidRDefault="00595691" w:rsidP="0059569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95691">
        <w:rPr>
          <w:rFonts w:ascii="Times New Roman" w:hAnsi="Times New Roman" w:cs="Times New Roman"/>
          <w:b/>
          <w:sz w:val="24"/>
          <w:szCs w:val="24"/>
          <w:lang w:val="uk-UA"/>
        </w:rPr>
        <w:t>5.8 Дози і способи введення тваринам різного віку</w:t>
      </w:r>
    </w:p>
    <w:p w:rsidR="00595691" w:rsidRP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Внутрішньовенно.</w:t>
      </w:r>
    </w:p>
    <w:p w:rsidR="0057791B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За гострого перебігу захворювання — одноразово, за хронічн</w:t>
      </w:r>
      <w:r>
        <w:rPr>
          <w:rFonts w:ascii="Times New Roman" w:hAnsi="Times New Roman" w:cs="Times New Roman"/>
          <w:sz w:val="24"/>
          <w:szCs w:val="24"/>
          <w:lang w:val="uk-UA"/>
        </w:rPr>
        <w:t>их – 3-4 рази з інтервалом</w:t>
      </w:r>
      <w:r w:rsidRPr="00755C4F">
        <w:rPr>
          <w:rFonts w:ascii="Times New Roman" w:hAnsi="Times New Roman" w:cs="Times New Roman"/>
          <w:sz w:val="24"/>
          <w:szCs w:val="24"/>
          <w:lang w:val="uk-UA"/>
        </w:rPr>
        <w:t xml:space="preserve"> 48 годин: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доросла велика рогата худоба — 7-10 мл препарату на 10 кг маси тіла;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молодняк великої рогатої худоби — 5-6 мл препарату на 10 кг маси тіла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коні — 5 мл препарату на 10 кг маси тіла;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токсичної диспепсії телят</w:t>
      </w:r>
      <w:r w:rsidRPr="00755C4F">
        <w:rPr>
          <w:rFonts w:ascii="Times New Roman" w:hAnsi="Times New Roman" w:cs="Times New Roman"/>
          <w:sz w:val="24"/>
          <w:szCs w:val="24"/>
          <w:lang w:val="uk-UA"/>
        </w:rPr>
        <w:t xml:space="preserve"> одноразово у дозі 40 мл на 10 кг маси тіла; за необхідності повторно вводять з інтервалом 24 години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5.9 Передозування(симптоми,</w:t>
      </w:r>
      <w:r w:rsidR="00890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невідкладні заходи,</w:t>
      </w:r>
      <w:r w:rsidR="008907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антидоти)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Може виникнути набряк мозку і легень,</w:t>
      </w:r>
      <w:r w:rsidR="008907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5C4F">
        <w:rPr>
          <w:rFonts w:ascii="Times New Roman" w:hAnsi="Times New Roman" w:cs="Times New Roman"/>
          <w:sz w:val="24"/>
          <w:szCs w:val="24"/>
          <w:lang w:val="uk-UA"/>
        </w:rPr>
        <w:t>порушення серцевої діяльності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5.10 Спеціальні застереження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Перед введенням препарат підігріти до температури тіла тварини.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Після введення препарату забезпечити тварині вільний доступ до питної води.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5.11 Період виведення(каденції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5.12 Спеціальні застереження для осіб і обслуговуючого персоналу</w:t>
      </w:r>
    </w:p>
    <w:p w:rsidR="00755C4F" w:rsidRDefault="00755C4F" w:rsidP="00755C4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Дотримуватись правил асептики та техніки безпечної фіксації тварин</w:t>
      </w:r>
    </w:p>
    <w:p w:rsidR="00755C4F" w:rsidRPr="00755C4F" w:rsidRDefault="00755C4F" w:rsidP="00755C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Фармацевтичні особливості</w:t>
      </w:r>
    </w:p>
    <w:p w:rsidR="00755C4F" w:rsidRPr="00755C4F" w:rsidRDefault="00755C4F" w:rsidP="00755C4F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b/>
          <w:sz w:val="24"/>
          <w:szCs w:val="24"/>
          <w:lang w:val="uk-UA"/>
        </w:rPr>
        <w:t>Форми несумісності (основні)</w:t>
      </w:r>
    </w:p>
    <w:p w:rsidR="00755C4F" w:rsidRDefault="00755C4F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5C4F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</w:p>
    <w:p w:rsidR="00890786" w:rsidRDefault="00890786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0786">
        <w:rPr>
          <w:rFonts w:ascii="Times New Roman" w:hAnsi="Times New Roman" w:cs="Times New Roman"/>
          <w:b/>
          <w:sz w:val="24"/>
          <w:szCs w:val="24"/>
          <w:lang w:val="uk-UA"/>
        </w:rPr>
        <w:t>6.2 Термін придатності</w:t>
      </w:r>
    </w:p>
    <w:p w:rsidR="00890786" w:rsidRDefault="00890786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0786">
        <w:rPr>
          <w:rFonts w:ascii="Times New Roman" w:hAnsi="Times New Roman" w:cs="Times New Roman"/>
          <w:sz w:val="24"/>
          <w:szCs w:val="24"/>
          <w:lang w:val="uk-UA"/>
        </w:rPr>
        <w:t>3 роки</w:t>
      </w:r>
    </w:p>
    <w:p w:rsidR="00890786" w:rsidRDefault="00890786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0786">
        <w:rPr>
          <w:rFonts w:ascii="Times New Roman" w:hAnsi="Times New Roman" w:cs="Times New Roman"/>
          <w:b/>
          <w:sz w:val="24"/>
          <w:szCs w:val="24"/>
          <w:lang w:val="uk-UA"/>
        </w:rPr>
        <w:t>6.3 Особливі заходи зберігання</w:t>
      </w:r>
    </w:p>
    <w:p w:rsidR="00890786" w:rsidRDefault="00A57493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493">
        <w:rPr>
          <w:rFonts w:ascii="Times New Roman" w:hAnsi="Times New Roman" w:cs="Times New Roman"/>
          <w:sz w:val="24"/>
          <w:szCs w:val="24"/>
          <w:lang w:val="uk-UA"/>
        </w:rPr>
        <w:t>Сухе темне місце, недоступне для діт</w:t>
      </w:r>
      <w:r w:rsidR="00CF7447">
        <w:rPr>
          <w:rFonts w:ascii="Times New Roman" w:hAnsi="Times New Roman" w:cs="Times New Roman"/>
          <w:sz w:val="24"/>
          <w:szCs w:val="24"/>
          <w:lang w:val="uk-UA"/>
        </w:rPr>
        <w:t>ей, при температурі від 0 до 25°</w:t>
      </w:r>
      <w:bookmarkStart w:id="0" w:name="_GoBack"/>
      <w:bookmarkEnd w:id="0"/>
      <w:r w:rsidRPr="00A57493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C1621C" w:rsidRDefault="00C1621C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21C">
        <w:rPr>
          <w:rFonts w:ascii="Times New Roman" w:hAnsi="Times New Roman" w:cs="Times New Roman"/>
          <w:b/>
          <w:sz w:val="24"/>
          <w:szCs w:val="24"/>
          <w:lang w:val="uk-UA"/>
        </w:rPr>
        <w:t>6.4 Природа і склад контейнера пакування</w:t>
      </w:r>
    </w:p>
    <w:p w:rsidR="00C1621C" w:rsidRDefault="00C1621C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21C">
        <w:rPr>
          <w:rFonts w:ascii="Times New Roman" w:hAnsi="Times New Roman" w:cs="Times New Roman"/>
          <w:sz w:val="24"/>
          <w:szCs w:val="24"/>
          <w:lang w:val="uk-UA"/>
        </w:rPr>
        <w:t>Скляні стерильні флакони, закупорені гумовими корками під алюмінієву обкатку по 100 і 200 мл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621C" w:rsidRDefault="00C1621C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21C">
        <w:rPr>
          <w:rFonts w:ascii="Times New Roman" w:hAnsi="Times New Roman" w:cs="Times New Roman"/>
          <w:b/>
          <w:sz w:val="24"/>
          <w:szCs w:val="24"/>
          <w:lang w:val="uk-UA"/>
        </w:rPr>
        <w:t>6.5 Особливі заходи безпеки при поводженні з невикористаним препаратом або із його залишками</w:t>
      </w:r>
    </w:p>
    <w:p w:rsidR="00C1621C" w:rsidRDefault="00C1621C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1621C">
        <w:rPr>
          <w:rFonts w:ascii="Times New Roman" w:hAnsi="Times New Roman" w:cs="Times New Roman"/>
          <w:sz w:val="24"/>
          <w:szCs w:val="24"/>
          <w:lang w:val="uk-UA"/>
        </w:rPr>
        <w:t>Невикористаний препарат або його залишки мають бути утилізовані згідно чинних вимог</w:t>
      </w:r>
    </w:p>
    <w:p w:rsidR="00F82B90" w:rsidRDefault="00F82B90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B90" w:rsidRDefault="00F82B90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B90" w:rsidRPr="00F82B90" w:rsidRDefault="00F82B90" w:rsidP="00F82B90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82B90">
        <w:rPr>
          <w:rFonts w:ascii="Times New Roman" w:hAnsi="Times New Roman" w:cs="Times New Roman"/>
          <w:sz w:val="24"/>
          <w:szCs w:val="24"/>
          <w:lang w:val="uk-UA"/>
        </w:rPr>
        <w:t>Продовження додатку 1</w:t>
      </w:r>
    </w:p>
    <w:p w:rsidR="00F82B90" w:rsidRDefault="00F82B90" w:rsidP="00F82B90">
      <w:pPr>
        <w:spacing w:after="0"/>
        <w:ind w:left="1800"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82B90">
        <w:rPr>
          <w:rFonts w:ascii="Times New Roman" w:hAnsi="Times New Roman" w:cs="Times New Roman"/>
          <w:sz w:val="24"/>
          <w:szCs w:val="24"/>
          <w:lang w:val="uk-UA"/>
        </w:rPr>
        <w:t>до реєстраційного посвідчення</w:t>
      </w:r>
    </w:p>
    <w:p w:rsidR="00F82B90" w:rsidRDefault="00F82B90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2B90" w:rsidRDefault="00F82B90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621C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b/>
          <w:sz w:val="24"/>
          <w:szCs w:val="24"/>
          <w:lang w:val="uk-UA"/>
        </w:rPr>
        <w:t>7. Назва і місце знаходження власника реєстраційного посвідчення</w:t>
      </w:r>
    </w:p>
    <w:p w:rsidR="00A43387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sz w:val="24"/>
          <w:szCs w:val="24"/>
          <w:lang w:val="uk-UA"/>
        </w:rPr>
        <w:t>ТОВ «Науково-виробниче підприємство «АГРОВЕТСЕРВІС»</w:t>
      </w:r>
    </w:p>
    <w:p w:rsidR="00A43387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sz w:val="24"/>
          <w:szCs w:val="24"/>
          <w:lang w:val="uk-UA"/>
        </w:rPr>
        <w:t xml:space="preserve">вул.Польова,13, </w:t>
      </w:r>
      <w:proofErr w:type="spellStart"/>
      <w:r w:rsidRPr="00A43387">
        <w:rPr>
          <w:rFonts w:ascii="Times New Roman" w:hAnsi="Times New Roman" w:cs="Times New Roman"/>
          <w:sz w:val="24"/>
          <w:szCs w:val="24"/>
          <w:lang w:val="uk-UA"/>
        </w:rPr>
        <w:t>с.Кинашів</w:t>
      </w:r>
      <w:proofErr w:type="spellEnd"/>
      <w:r w:rsidRPr="00A43387">
        <w:rPr>
          <w:rFonts w:ascii="Times New Roman" w:hAnsi="Times New Roman" w:cs="Times New Roman"/>
          <w:sz w:val="24"/>
          <w:szCs w:val="24"/>
          <w:lang w:val="uk-UA"/>
        </w:rPr>
        <w:t xml:space="preserve">, Тульчинський р-н, Вінницька обл., 23607,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Україна.</w:t>
      </w:r>
    </w:p>
    <w:p w:rsidR="00A43387" w:rsidRPr="00A43387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b/>
          <w:sz w:val="24"/>
          <w:szCs w:val="24"/>
          <w:lang w:val="uk-UA"/>
        </w:rPr>
        <w:t>8. Назва і місце знаходження виробника</w:t>
      </w:r>
    </w:p>
    <w:p w:rsidR="00A43387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sz w:val="24"/>
          <w:szCs w:val="24"/>
          <w:lang w:val="uk-UA"/>
        </w:rPr>
        <w:t>ТОВ «Науково-виробниче підприємство «АГРОВЕТСЕРВІС»</w:t>
      </w:r>
    </w:p>
    <w:p w:rsidR="00A43387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sz w:val="24"/>
          <w:szCs w:val="24"/>
          <w:lang w:val="uk-UA"/>
        </w:rPr>
        <w:t xml:space="preserve">вул.Польова,13, </w:t>
      </w:r>
      <w:proofErr w:type="spellStart"/>
      <w:r w:rsidRPr="00A43387">
        <w:rPr>
          <w:rFonts w:ascii="Times New Roman" w:hAnsi="Times New Roman" w:cs="Times New Roman"/>
          <w:sz w:val="24"/>
          <w:szCs w:val="24"/>
          <w:lang w:val="uk-UA"/>
        </w:rPr>
        <w:t>с.Кинашів</w:t>
      </w:r>
      <w:proofErr w:type="spellEnd"/>
      <w:r w:rsidRPr="00A43387">
        <w:rPr>
          <w:rFonts w:ascii="Times New Roman" w:hAnsi="Times New Roman" w:cs="Times New Roman"/>
          <w:sz w:val="24"/>
          <w:szCs w:val="24"/>
          <w:lang w:val="uk-UA"/>
        </w:rPr>
        <w:t>, Тульчинський р-н, Вінницька обл., 23607, Україна.</w:t>
      </w:r>
    </w:p>
    <w:p w:rsidR="00A43387" w:rsidRPr="00A43387" w:rsidRDefault="00A43387" w:rsidP="00755C4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43387">
        <w:rPr>
          <w:rFonts w:ascii="Times New Roman" w:hAnsi="Times New Roman" w:cs="Times New Roman"/>
          <w:b/>
          <w:sz w:val="24"/>
          <w:szCs w:val="24"/>
          <w:lang w:val="uk-UA"/>
        </w:rPr>
        <w:t>9. Додаткова інформація</w:t>
      </w:r>
    </w:p>
    <w:sectPr w:rsidR="00A43387" w:rsidRPr="00A43387" w:rsidSect="00CD5ECF">
      <w:footerReference w:type="default" r:id="rId8"/>
      <w:pgSz w:w="12240" w:h="15840" w:code="1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87" w:rsidRDefault="00A43387" w:rsidP="00A43387">
      <w:pPr>
        <w:spacing w:after="0" w:line="240" w:lineRule="auto"/>
      </w:pPr>
      <w:r>
        <w:separator/>
      </w:r>
    </w:p>
  </w:endnote>
  <w:endnote w:type="continuationSeparator" w:id="0">
    <w:p w:rsidR="00A43387" w:rsidRDefault="00A43387" w:rsidP="00A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368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A43387" w:rsidRPr="00A43387" w:rsidRDefault="00A4338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433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33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433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744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4338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43387" w:rsidRDefault="00A43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87" w:rsidRDefault="00A43387" w:rsidP="00A43387">
      <w:pPr>
        <w:spacing w:after="0" w:line="240" w:lineRule="auto"/>
      </w:pPr>
      <w:r>
        <w:separator/>
      </w:r>
    </w:p>
  </w:footnote>
  <w:footnote w:type="continuationSeparator" w:id="0">
    <w:p w:rsidR="00A43387" w:rsidRDefault="00A43387" w:rsidP="00A4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02A5"/>
    <w:multiLevelType w:val="hybridMultilevel"/>
    <w:tmpl w:val="06B0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48EE"/>
    <w:multiLevelType w:val="multilevel"/>
    <w:tmpl w:val="F9E44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4E"/>
    <w:rsid w:val="00191B4E"/>
    <w:rsid w:val="00224D44"/>
    <w:rsid w:val="0057791B"/>
    <w:rsid w:val="00595691"/>
    <w:rsid w:val="00755C4F"/>
    <w:rsid w:val="00890786"/>
    <w:rsid w:val="00A022DF"/>
    <w:rsid w:val="00A43387"/>
    <w:rsid w:val="00A57493"/>
    <w:rsid w:val="00C1621C"/>
    <w:rsid w:val="00CD5ECF"/>
    <w:rsid w:val="00CF7447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8D24"/>
  <w15:chartTrackingRefBased/>
  <w15:docId w15:val="{23C77597-9B42-48A3-8172-C66B67E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33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3387"/>
  </w:style>
  <w:style w:type="paragraph" w:styleId="a6">
    <w:name w:val="footer"/>
    <w:basedOn w:val="a"/>
    <w:link w:val="a7"/>
    <w:uiPriority w:val="99"/>
    <w:unhideWhenUsed/>
    <w:rsid w:val="00A4338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D99E-6906-42EF-AB66-267EA033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9</cp:revision>
  <dcterms:created xsi:type="dcterms:W3CDTF">2025-03-20T09:52:00Z</dcterms:created>
  <dcterms:modified xsi:type="dcterms:W3CDTF">2025-03-20T13:01:00Z</dcterms:modified>
</cp:coreProperties>
</file>