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763D" w14:textId="77777777" w:rsidR="004A0467" w:rsidRPr="004E3363" w:rsidRDefault="004A0467" w:rsidP="004A0467">
      <w:pPr>
        <w:shd w:val="clear" w:color="auto" w:fill="FFFFFF"/>
        <w:ind w:firstLine="425"/>
        <w:jc w:val="center"/>
      </w:pPr>
      <w:r w:rsidRPr="004E3363">
        <w:rPr>
          <w:b/>
          <w:bCs/>
          <w:lang w:val="uk-UA"/>
        </w:rPr>
        <w:t>Коротка характеристика препарату</w:t>
      </w:r>
    </w:p>
    <w:p w14:paraId="1BBE763E" w14:textId="77777777" w:rsidR="004A0467" w:rsidRPr="004E3363" w:rsidRDefault="004A0467" w:rsidP="004A0467">
      <w:pPr>
        <w:shd w:val="clear" w:color="auto" w:fill="FFFFFF"/>
        <w:tabs>
          <w:tab w:val="left" w:pos="806"/>
        </w:tabs>
        <w:ind w:firstLine="425"/>
        <w:jc w:val="both"/>
      </w:pPr>
      <w:r w:rsidRPr="004E3363">
        <w:rPr>
          <w:b/>
          <w:bCs/>
        </w:rPr>
        <w:t>1.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Назва</w:t>
      </w:r>
    </w:p>
    <w:p w14:paraId="1BBE763F" w14:textId="77777777" w:rsidR="004A0467" w:rsidRPr="004E3363" w:rsidRDefault="004A0467" w:rsidP="004A0467">
      <w:pPr>
        <w:shd w:val="clear" w:color="auto" w:fill="FFFFFF"/>
        <w:ind w:firstLine="425"/>
        <w:jc w:val="both"/>
        <w:rPr>
          <w:lang w:val="uk-UA"/>
        </w:rPr>
      </w:pPr>
      <w:r w:rsidRPr="004E3363">
        <w:rPr>
          <w:lang w:val="uk-UA"/>
        </w:rPr>
        <w:t>ТРИКОЛІН</w:t>
      </w:r>
      <w:r w:rsidRPr="004E3363">
        <w:t xml:space="preserve"> </w:t>
      </w:r>
    </w:p>
    <w:p w14:paraId="1BBE7640" w14:textId="77777777" w:rsidR="004A0467" w:rsidRPr="004E3363" w:rsidRDefault="004A0467" w:rsidP="004A0467">
      <w:pPr>
        <w:shd w:val="clear" w:color="auto" w:fill="FFFFFF"/>
        <w:tabs>
          <w:tab w:val="left" w:pos="806"/>
        </w:tabs>
        <w:ind w:firstLine="425"/>
        <w:jc w:val="both"/>
      </w:pPr>
      <w:r w:rsidRPr="004E3363">
        <w:rPr>
          <w:b/>
          <w:bCs/>
        </w:rPr>
        <w:t>2.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Склад</w:t>
      </w:r>
    </w:p>
    <w:p w14:paraId="1BBE7641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1 мл препарату містить діючі речовини: </w:t>
      </w:r>
    </w:p>
    <w:p w14:paraId="1BBE7642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-100 мг; </w:t>
      </w:r>
    </w:p>
    <w:p w14:paraId="1BBE7643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триметоприм</w:t>
      </w:r>
      <w:proofErr w:type="spellEnd"/>
      <w:r w:rsidRPr="004E3363">
        <w:rPr>
          <w:bdr w:val="nil"/>
          <w:lang w:val="uk-UA"/>
        </w:rPr>
        <w:t xml:space="preserve"> - 30 мг; </w:t>
      </w:r>
    </w:p>
    <w:p w14:paraId="1BBE7644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колістину сульфат – 500 000 MO.</w:t>
      </w:r>
    </w:p>
    <w:p w14:paraId="1BBE7645" w14:textId="77777777" w:rsidR="004A0467" w:rsidRPr="004E3363" w:rsidRDefault="004A0467" w:rsidP="004A0467">
      <w:pPr>
        <w:ind w:firstLine="425"/>
        <w:jc w:val="both"/>
        <w:rPr>
          <w:lang w:val="uk-UA"/>
        </w:rPr>
      </w:pPr>
      <w:r w:rsidRPr="004E3363">
        <w:rPr>
          <w:bdr w:val="nil"/>
          <w:lang w:val="uk-UA"/>
        </w:rPr>
        <w:t xml:space="preserve">Допоміжні речовини: спирт </w:t>
      </w:r>
      <w:proofErr w:type="spellStart"/>
      <w:r w:rsidRPr="004E3363">
        <w:rPr>
          <w:bdr w:val="nil"/>
          <w:lang w:val="uk-UA"/>
        </w:rPr>
        <w:t>бензиловий</w:t>
      </w:r>
      <w:proofErr w:type="spellEnd"/>
      <w:r w:rsidRPr="004E3363">
        <w:rPr>
          <w:bdr w:val="nil"/>
          <w:lang w:val="uk-UA"/>
        </w:rPr>
        <w:t xml:space="preserve">, кислота молочна, </w:t>
      </w:r>
      <w:proofErr w:type="spellStart"/>
      <w:r w:rsidRPr="004E3363">
        <w:rPr>
          <w:bdr w:val="nil"/>
          <w:lang w:val="uk-UA"/>
        </w:rPr>
        <w:t>динатрію</w:t>
      </w:r>
      <w:proofErr w:type="spellEnd"/>
      <w:r w:rsidRPr="004E3363">
        <w:rPr>
          <w:bdr w:val="nil"/>
          <w:lang w:val="uk-UA"/>
        </w:rPr>
        <w:t xml:space="preserve"> </w:t>
      </w:r>
      <w:proofErr w:type="spellStart"/>
      <w:r w:rsidRPr="004E3363">
        <w:rPr>
          <w:bdr w:val="nil"/>
          <w:lang w:val="uk-UA"/>
        </w:rPr>
        <w:t>едетат</w:t>
      </w:r>
      <w:proofErr w:type="spellEnd"/>
      <w:r w:rsidRPr="004E3363">
        <w:rPr>
          <w:bdr w:val="nil"/>
          <w:lang w:val="uk-UA"/>
        </w:rPr>
        <w:t>, вода очищена</w:t>
      </w:r>
      <w:r w:rsidRPr="004E3363">
        <w:rPr>
          <w:lang w:val="uk-UA" w:eastAsia="en-US" w:bidi="en-US"/>
        </w:rPr>
        <w:t>.</w:t>
      </w:r>
    </w:p>
    <w:p w14:paraId="1BBE7646" w14:textId="77777777" w:rsidR="004A0467" w:rsidRPr="004E3363" w:rsidRDefault="004A0467" w:rsidP="004A0467">
      <w:pPr>
        <w:ind w:firstLine="425"/>
        <w:jc w:val="both"/>
        <w:rPr>
          <w:b/>
          <w:bCs/>
          <w:lang w:val="uk-UA"/>
        </w:rPr>
      </w:pPr>
      <w:r w:rsidRPr="004E3363">
        <w:rPr>
          <w:b/>
          <w:bCs/>
          <w:lang w:val="uk-UA"/>
        </w:rPr>
        <w:t>3. Фармацевтична форма</w:t>
      </w:r>
    </w:p>
    <w:p w14:paraId="1BBE7647" w14:textId="77777777" w:rsidR="004A0467" w:rsidRPr="004E3363" w:rsidRDefault="004A0467" w:rsidP="004A046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4E3363">
        <w:rPr>
          <w:lang w:val="uk-UA"/>
        </w:rPr>
        <w:t>Розчин для перорального застосування.</w:t>
      </w:r>
    </w:p>
    <w:p w14:paraId="1BBE7648" w14:textId="77777777" w:rsidR="004A0467" w:rsidRPr="004E3363" w:rsidRDefault="004A0467" w:rsidP="004A046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4E3363">
        <w:rPr>
          <w:b/>
          <w:bCs/>
          <w:lang w:val="uk-UA"/>
        </w:rPr>
        <w:t>4. Фармакологічні властивості</w:t>
      </w:r>
    </w:p>
    <w:p w14:paraId="1BBE7649" w14:textId="77777777" w:rsidR="004A0467" w:rsidRPr="004E3363" w:rsidRDefault="004A0467" w:rsidP="004A0467">
      <w:pPr>
        <w:ind w:firstLine="425"/>
        <w:jc w:val="both"/>
        <w:rPr>
          <w:b/>
          <w:i/>
          <w:bdr w:val="nil"/>
          <w:lang w:val="uk-UA"/>
        </w:rPr>
      </w:pPr>
      <w:r w:rsidRPr="004E3363">
        <w:rPr>
          <w:b/>
          <w:i/>
          <w:bdr w:val="nil"/>
          <w:lang w:val="uk-UA"/>
        </w:rPr>
        <w:t xml:space="preserve">АТС </w:t>
      </w:r>
      <w:proofErr w:type="spellStart"/>
      <w:r w:rsidRPr="004E3363">
        <w:rPr>
          <w:b/>
          <w:i/>
          <w:bdr w:val="nil"/>
          <w:lang w:val="uk-UA"/>
        </w:rPr>
        <w:t>vet</w:t>
      </w:r>
      <w:proofErr w:type="spellEnd"/>
      <w:r w:rsidRPr="004E3363">
        <w:rPr>
          <w:b/>
          <w:i/>
          <w:bdr w:val="nil"/>
          <w:lang w:val="uk-UA"/>
        </w:rPr>
        <w:t xml:space="preserve"> класифікаційний код QJ01 - антибактеріальні ветеринарні препарати для системного застосування. QJ01RA96 - </w:t>
      </w:r>
      <w:proofErr w:type="spellStart"/>
      <w:r w:rsidRPr="004E3363">
        <w:rPr>
          <w:b/>
          <w:i/>
          <w:bdr w:val="nil"/>
          <w:lang w:val="uk-UA"/>
        </w:rPr>
        <w:t>Хінолони</w:t>
      </w:r>
      <w:proofErr w:type="spellEnd"/>
      <w:r w:rsidRPr="004E3363">
        <w:rPr>
          <w:b/>
          <w:i/>
          <w:bdr w:val="nil"/>
          <w:lang w:val="uk-UA"/>
        </w:rPr>
        <w:t>, комбінації з іншими протимікробними препаратами.</w:t>
      </w:r>
    </w:p>
    <w:p w14:paraId="1BBE764A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ТРИКОЛІН – комплексний препарат, терапевтичний ефект якого зумовлений синергічним впливом діючих компонентів препарату: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 xml:space="preserve"> та </w:t>
      </w:r>
      <w:proofErr w:type="spellStart"/>
      <w:r w:rsidRPr="004E3363">
        <w:rPr>
          <w:bdr w:val="nil"/>
          <w:lang w:val="uk-UA"/>
        </w:rPr>
        <w:t>колістину</w:t>
      </w:r>
      <w:proofErr w:type="spellEnd"/>
      <w:r w:rsidRPr="004E3363">
        <w:rPr>
          <w:bdr w:val="nil"/>
          <w:lang w:val="uk-UA"/>
        </w:rPr>
        <w:t xml:space="preserve"> сульфату. </w:t>
      </w:r>
    </w:p>
    <w:p w14:paraId="1BBE764B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належить до групи </w:t>
      </w:r>
      <w:proofErr w:type="spellStart"/>
      <w:r w:rsidRPr="004E3363">
        <w:rPr>
          <w:bdr w:val="nil"/>
          <w:lang w:val="uk-UA"/>
        </w:rPr>
        <w:t>фторхінолонів</w:t>
      </w:r>
      <w:proofErr w:type="spellEnd"/>
      <w:r w:rsidRPr="004E3363">
        <w:rPr>
          <w:bdr w:val="nil"/>
          <w:lang w:val="uk-UA"/>
        </w:rPr>
        <w:t xml:space="preserve">. Механізм дії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 полягає у </w:t>
      </w:r>
      <w:proofErr w:type="spellStart"/>
      <w:r w:rsidRPr="004E3363">
        <w:rPr>
          <w:bdr w:val="nil"/>
          <w:lang w:val="uk-UA"/>
        </w:rPr>
        <w:t>інгібуванні</w:t>
      </w:r>
      <w:proofErr w:type="spellEnd"/>
      <w:r w:rsidRPr="004E3363">
        <w:rPr>
          <w:bdr w:val="nil"/>
          <w:lang w:val="uk-UA"/>
        </w:rPr>
        <w:t xml:space="preserve"> ДНК-</w:t>
      </w:r>
      <w:proofErr w:type="spellStart"/>
      <w:r w:rsidRPr="004E3363">
        <w:rPr>
          <w:bdr w:val="nil"/>
          <w:lang w:val="uk-UA"/>
        </w:rPr>
        <w:t>гірази</w:t>
      </w:r>
      <w:proofErr w:type="spellEnd"/>
      <w:r w:rsidRPr="004E3363">
        <w:rPr>
          <w:bdr w:val="nil"/>
          <w:lang w:val="uk-UA"/>
        </w:rPr>
        <w:t xml:space="preserve"> бактерій, тим самим, не допускаючи процесу реплікації ДНК, і порушенні цілісності мембрани бактеріальної клітини, що призводить до її загибелі. </w:t>
      </w: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діє бактерицидно проти грампозитивних (</w:t>
      </w:r>
      <w:proofErr w:type="spellStart"/>
      <w:r w:rsidRPr="004E3363">
        <w:rPr>
          <w:i/>
          <w:bdr w:val="nil"/>
          <w:lang w:val="uk-UA"/>
        </w:rPr>
        <w:t>Staphylococcus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aureus</w:t>
      </w:r>
      <w:proofErr w:type="spellEnd"/>
      <w:r w:rsidRPr="004E3363">
        <w:rPr>
          <w:bdr w:val="nil"/>
          <w:lang w:val="uk-UA"/>
        </w:rPr>
        <w:t>) та грамнегативних мікроорганізмів (</w:t>
      </w:r>
      <w:proofErr w:type="spellStart"/>
      <w:r w:rsidRPr="004E3363">
        <w:rPr>
          <w:i/>
          <w:bdr w:val="nil"/>
          <w:lang w:val="uk-UA"/>
        </w:rPr>
        <w:t>Enterobacteriaceae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включно </w:t>
      </w:r>
      <w:proofErr w:type="spellStart"/>
      <w:r w:rsidRPr="004E3363">
        <w:rPr>
          <w:i/>
          <w:bdr w:val="nil"/>
          <w:lang w:val="uk-UA"/>
        </w:rPr>
        <w:t>Salmonella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Pasteurella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Haemophilus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Actinobacillus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Brucella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Bordetella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bronchiseptica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Pseudomonas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aeruginosa</w:t>
      </w:r>
      <w:proofErr w:type="spellEnd"/>
      <w:r w:rsidRPr="004E3363">
        <w:rPr>
          <w:bdr w:val="nil"/>
          <w:lang w:val="uk-UA"/>
        </w:rPr>
        <w:t xml:space="preserve"> та інші), а також діє проти </w:t>
      </w:r>
      <w:proofErr w:type="spellStart"/>
      <w:r w:rsidRPr="004E3363">
        <w:rPr>
          <w:bdr w:val="nil"/>
          <w:lang w:val="uk-UA"/>
        </w:rPr>
        <w:t>мікоплазм</w:t>
      </w:r>
      <w:proofErr w:type="spellEnd"/>
      <w:r w:rsidRPr="004E3363">
        <w:rPr>
          <w:bdr w:val="nil"/>
          <w:lang w:val="uk-UA"/>
        </w:rPr>
        <w:t xml:space="preserve"> (</w:t>
      </w:r>
      <w:proofErr w:type="spellStart"/>
      <w:r w:rsidRPr="004E3363">
        <w:rPr>
          <w:i/>
          <w:bdr w:val="nil"/>
          <w:lang w:val="uk-UA"/>
        </w:rPr>
        <w:t>Mycoplasma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>.</w:t>
      </w:r>
      <w:r w:rsidRPr="004E3363">
        <w:rPr>
          <w:bdr w:val="nil"/>
          <w:lang w:val="uk-UA"/>
        </w:rPr>
        <w:t xml:space="preserve">) та </w:t>
      </w:r>
      <w:proofErr w:type="spellStart"/>
      <w:r w:rsidRPr="004E3363">
        <w:rPr>
          <w:bdr w:val="nil"/>
          <w:lang w:val="uk-UA"/>
        </w:rPr>
        <w:t>хламідій</w:t>
      </w:r>
      <w:proofErr w:type="spellEnd"/>
      <w:r w:rsidRPr="004E3363">
        <w:rPr>
          <w:bdr w:val="nil"/>
          <w:lang w:val="uk-UA"/>
        </w:rPr>
        <w:t xml:space="preserve"> (</w:t>
      </w:r>
      <w:proofErr w:type="spellStart"/>
      <w:r w:rsidRPr="004E3363">
        <w:rPr>
          <w:i/>
          <w:bdr w:val="nil"/>
          <w:lang w:val="uk-UA"/>
        </w:rPr>
        <w:t>Chlamydia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>.</w:t>
      </w:r>
      <w:r w:rsidRPr="004E3363">
        <w:rPr>
          <w:bdr w:val="nil"/>
          <w:lang w:val="uk-UA"/>
        </w:rPr>
        <w:t xml:space="preserve">). </w:t>
      </w:r>
    </w:p>
    <w:p w14:paraId="1BBE764C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Триметоприм</w:t>
      </w:r>
      <w:proofErr w:type="spellEnd"/>
      <w:r w:rsidRPr="004E3363">
        <w:rPr>
          <w:bdr w:val="nil"/>
          <w:lang w:val="uk-UA"/>
        </w:rPr>
        <w:t xml:space="preserve"> - антагоніст фолієвої кислоти, є похідним </w:t>
      </w:r>
      <w:proofErr w:type="spellStart"/>
      <w:r w:rsidRPr="004E3363">
        <w:rPr>
          <w:bdr w:val="nil"/>
          <w:lang w:val="uk-UA"/>
        </w:rPr>
        <w:t>діамінопіримідину</w:t>
      </w:r>
      <w:proofErr w:type="spellEnd"/>
      <w:r w:rsidRPr="004E3363">
        <w:rPr>
          <w:bdr w:val="nil"/>
          <w:lang w:val="uk-UA"/>
        </w:rPr>
        <w:t xml:space="preserve">. Механізм дії полягає у </w:t>
      </w:r>
      <w:proofErr w:type="spellStart"/>
      <w:r w:rsidRPr="004E3363">
        <w:rPr>
          <w:bdr w:val="nil"/>
          <w:lang w:val="uk-UA"/>
        </w:rPr>
        <w:t>інгібуванні</w:t>
      </w:r>
      <w:proofErr w:type="spellEnd"/>
      <w:r w:rsidRPr="004E3363">
        <w:rPr>
          <w:bdr w:val="nil"/>
          <w:lang w:val="uk-UA"/>
        </w:rPr>
        <w:t xml:space="preserve"> ферменту </w:t>
      </w:r>
      <w:proofErr w:type="spellStart"/>
      <w:r w:rsidRPr="004E3363">
        <w:rPr>
          <w:bdr w:val="nil"/>
          <w:lang w:val="uk-UA"/>
        </w:rPr>
        <w:t>дигідрофолатредуктази</w:t>
      </w:r>
      <w:proofErr w:type="spellEnd"/>
      <w:r w:rsidRPr="004E3363">
        <w:rPr>
          <w:bdr w:val="nil"/>
          <w:lang w:val="uk-UA"/>
        </w:rPr>
        <w:t xml:space="preserve"> в процесі синтезу </w:t>
      </w:r>
      <w:proofErr w:type="spellStart"/>
      <w:r w:rsidRPr="004E3363">
        <w:rPr>
          <w:bdr w:val="nil"/>
          <w:lang w:val="uk-UA"/>
        </w:rPr>
        <w:t>тетрагідрофолієвої</w:t>
      </w:r>
      <w:proofErr w:type="spellEnd"/>
      <w:r w:rsidRPr="004E3363">
        <w:rPr>
          <w:bdr w:val="nil"/>
          <w:lang w:val="uk-UA"/>
        </w:rPr>
        <w:t xml:space="preserve"> кислоти. Це призводить до виснаження </w:t>
      </w:r>
      <w:proofErr w:type="spellStart"/>
      <w:r w:rsidRPr="004E3363">
        <w:rPr>
          <w:bdr w:val="nil"/>
          <w:lang w:val="uk-UA"/>
        </w:rPr>
        <w:t>фолатів</w:t>
      </w:r>
      <w:proofErr w:type="spellEnd"/>
      <w:r w:rsidRPr="004E3363">
        <w:rPr>
          <w:bdr w:val="nil"/>
          <w:lang w:val="uk-UA"/>
        </w:rPr>
        <w:t xml:space="preserve">, основного </w:t>
      </w:r>
      <w:proofErr w:type="spellStart"/>
      <w:r w:rsidRPr="004E3363">
        <w:rPr>
          <w:bdr w:val="nil"/>
          <w:lang w:val="uk-UA"/>
        </w:rPr>
        <w:t>кофактора</w:t>
      </w:r>
      <w:proofErr w:type="spellEnd"/>
      <w:r w:rsidRPr="004E3363">
        <w:rPr>
          <w:bdr w:val="nil"/>
          <w:lang w:val="uk-UA"/>
        </w:rPr>
        <w:t xml:space="preserve"> синтезу нуклеїнових кислот, в результаті чого порушується продукування нуклеїнових кислот та білку бактерій. </w:t>
      </w:r>
      <w:proofErr w:type="spellStart"/>
      <w:r w:rsidRPr="004E3363">
        <w:rPr>
          <w:bdr w:val="nil"/>
          <w:lang w:val="uk-UA"/>
        </w:rPr>
        <w:t>Триметоприм</w:t>
      </w:r>
      <w:proofErr w:type="spellEnd"/>
      <w:r w:rsidRPr="004E3363">
        <w:rPr>
          <w:bdr w:val="nil"/>
          <w:lang w:val="uk-UA"/>
        </w:rPr>
        <w:t xml:space="preserve"> активний щодо широкого діапазону мікроорганізмів, y тому числі, грампозитивних і грамнегативних аеробних бактерій, </w:t>
      </w:r>
      <w:proofErr w:type="spellStart"/>
      <w:r w:rsidRPr="004E3363">
        <w:rPr>
          <w:bdr w:val="nil"/>
          <w:lang w:val="uk-UA"/>
        </w:rPr>
        <w:t>хламідій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нокардій</w:t>
      </w:r>
      <w:proofErr w:type="spellEnd"/>
      <w:r w:rsidRPr="004E3363">
        <w:rPr>
          <w:bdr w:val="nil"/>
          <w:lang w:val="uk-UA"/>
        </w:rPr>
        <w:t xml:space="preserve"> (актиноміцет), деяких мікобактерій і найпростіших, а також багатьох анаеробних бактерій. </w:t>
      </w:r>
      <w:proofErr w:type="spellStart"/>
      <w:r w:rsidRPr="004E3363">
        <w:rPr>
          <w:i/>
          <w:bdr w:val="nil"/>
          <w:lang w:val="uk-UA"/>
        </w:rPr>
        <w:t>Mycobacterium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tuberculosis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Treponema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pallidum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Pseudomonas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aeruginosa</w:t>
      </w:r>
      <w:proofErr w:type="spellEnd"/>
      <w:r w:rsidRPr="004E3363">
        <w:rPr>
          <w:i/>
          <w:bdr w:val="nil"/>
          <w:lang w:val="uk-UA"/>
        </w:rPr>
        <w:t xml:space="preserve"> і </w:t>
      </w:r>
      <w:proofErr w:type="spellStart"/>
      <w:r w:rsidRPr="004E3363">
        <w:rPr>
          <w:i/>
          <w:bdr w:val="nil"/>
          <w:lang w:val="uk-UA"/>
        </w:rPr>
        <w:t>Mycoplasma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>.</w:t>
      </w:r>
      <w:r w:rsidRPr="004E3363">
        <w:rPr>
          <w:bdr w:val="nil"/>
          <w:lang w:val="uk-UA"/>
        </w:rPr>
        <w:t xml:space="preserve"> малочутливі, або нечутливі до дії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>. Дія поширюється проти грамнегативних бактерій (</w:t>
      </w:r>
      <w:proofErr w:type="spellStart"/>
      <w:r w:rsidRPr="004E3363">
        <w:rPr>
          <w:i/>
          <w:bdr w:val="nil"/>
          <w:lang w:val="uk-UA"/>
        </w:rPr>
        <w:t>Haemophilus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parainfluenzae</w:t>
      </w:r>
      <w:proofErr w:type="spellEnd"/>
      <w:r w:rsidRPr="004E3363">
        <w:rPr>
          <w:i/>
          <w:bdr w:val="nil"/>
          <w:lang w:val="uk-UA"/>
        </w:rPr>
        <w:t xml:space="preserve">, Н. </w:t>
      </w:r>
      <w:proofErr w:type="spellStart"/>
      <w:r w:rsidRPr="004E3363">
        <w:rPr>
          <w:i/>
          <w:bdr w:val="nil"/>
          <w:lang w:val="uk-UA"/>
        </w:rPr>
        <w:t>ducreyi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Citrobacter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freundii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Klebsiella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oxytoca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Enterobacter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cloacae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Serratia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marcescens</w:t>
      </w:r>
      <w:proofErr w:type="spellEnd"/>
      <w:r w:rsidRPr="004E3363">
        <w:rPr>
          <w:i/>
          <w:bdr w:val="nil"/>
          <w:lang w:val="uk-UA"/>
        </w:rPr>
        <w:t>)</w:t>
      </w:r>
      <w:r w:rsidRPr="004E3363">
        <w:rPr>
          <w:bdr w:val="nil"/>
          <w:lang w:val="uk-UA"/>
        </w:rPr>
        <w:t xml:space="preserve"> та проти грампозитивних (</w:t>
      </w:r>
      <w:proofErr w:type="spellStart"/>
      <w:r w:rsidRPr="004E3363">
        <w:rPr>
          <w:i/>
          <w:bdr w:val="nil"/>
          <w:lang w:val="uk-UA" w:bidi="en-US"/>
        </w:rPr>
        <w:t>Staphylococcus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aureus</w:t>
      </w:r>
      <w:proofErr w:type="spellEnd"/>
      <w:r w:rsidRPr="004E3363">
        <w:rPr>
          <w:i/>
          <w:bdr w:val="nil"/>
          <w:lang w:val="uk-UA"/>
        </w:rPr>
        <w:t>, групи β-</w:t>
      </w:r>
      <w:proofErr w:type="spellStart"/>
      <w:r w:rsidRPr="004E3363">
        <w:rPr>
          <w:i/>
          <w:bdr w:val="nil"/>
          <w:lang w:val="uk-UA" w:bidi="en-US"/>
        </w:rPr>
        <w:t>hemolytic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streptococci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 w:bidi="en-US"/>
        </w:rPr>
        <w:t>Streptococcus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viridians</w:t>
      </w:r>
      <w:proofErr w:type="spellEnd"/>
      <w:r w:rsidRPr="004E3363">
        <w:rPr>
          <w:i/>
          <w:bdr w:val="nil"/>
          <w:lang w:val="uk-UA"/>
        </w:rPr>
        <w:t xml:space="preserve"> </w:t>
      </w:r>
      <w:r w:rsidRPr="004E3363">
        <w:rPr>
          <w:bdr w:val="nil"/>
          <w:lang w:val="uk-UA"/>
        </w:rPr>
        <w:t>і</w:t>
      </w:r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Streptococcus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pneumoniae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 w:bidi="en-US"/>
        </w:rPr>
        <w:t>Clostridium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spp</w:t>
      </w:r>
      <w:proofErr w:type="spellEnd"/>
      <w:r w:rsidRPr="004E3363">
        <w:rPr>
          <w:i/>
          <w:bdr w:val="nil"/>
          <w:lang w:val="uk-UA"/>
        </w:rPr>
        <w:t xml:space="preserve">. </w:t>
      </w:r>
      <w:r w:rsidRPr="004E3363">
        <w:rPr>
          <w:bdr w:val="nil"/>
          <w:lang w:val="uk-UA"/>
        </w:rPr>
        <w:t>та</w:t>
      </w:r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Corynebacterium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 w:bidi="en-US"/>
        </w:rPr>
        <w:t>spp</w:t>
      </w:r>
      <w:proofErr w:type="spellEnd"/>
      <w:r w:rsidRPr="004E3363">
        <w:rPr>
          <w:i/>
          <w:bdr w:val="nil"/>
          <w:lang w:val="uk-UA"/>
        </w:rPr>
        <w:t xml:space="preserve">.).  </w:t>
      </w:r>
      <w:r w:rsidRPr="004E3363">
        <w:rPr>
          <w:bdr w:val="nil"/>
          <w:lang w:val="uk-UA"/>
        </w:rPr>
        <w:t xml:space="preserve"> </w:t>
      </w:r>
    </w:p>
    <w:p w14:paraId="1BBE764D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– антибіотик групи </w:t>
      </w:r>
      <w:proofErr w:type="spellStart"/>
      <w:r w:rsidRPr="004E3363">
        <w:rPr>
          <w:bdr w:val="nil"/>
          <w:lang w:val="uk-UA"/>
        </w:rPr>
        <w:t>поліміксинів</w:t>
      </w:r>
      <w:proofErr w:type="spellEnd"/>
      <w:r w:rsidRPr="004E3363">
        <w:rPr>
          <w:bdr w:val="nil"/>
          <w:lang w:val="uk-UA"/>
        </w:rPr>
        <w:t xml:space="preserve">, який синтезується аеробною </w:t>
      </w:r>
      <w:proofErr w:type="spellStart"/>
      <w:r w:rsidRPr="004E3363">
        <w:rPr>
          <w:bdr w:val="nil"/>
          <w:lang w:val="uk-UA"/>
        </w:rPr>
        <w:t>спороутворюючою</w:t>
      </w:r>
      <w:proofErr w:type="spellEnd"/>
      <w:r w:rsidRPr="004E3363">
        <w:rPr>
          <w:bdr w:val="nil"/>
          <w:lang w:val="uk-UA"/>
        </w:rPr>
        <w:t xml:space="preserve"> паличкою </w:t>
      </w:r>
      <w:proofErr w:type="spellStart"/>
      <w:r w:rsidRPr="004E3363">
        <w:rPr>
          <w:i/>
          <w:bdr w:val="nil"/>
          <w:lang w:val="uk-UA"/>
        </w:rPr>
        <w:t>Bacillus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ро</w:t>
      </w:r>
      <w:r w:rsidRPr="004E3363">
        <w:rPr>
          <w:i/>
          <w:bdr w:val="nil"/>
          <w:lang w:val="uk-UA" w:bidi="en-US"/>
        </w:rPr>
        <w:t>l</w:t>
      </w:r>
      <w:r w:rsidRPr="004E3363">
        <w:rPr>
          <w:i/>
          <w:bdr w:val="nil"/>
          <w:lang w:val="uk-UA"/>
        </w:rPr>
        <w:t>утуха</w:t>
      </w:r>
      <w:proofErr w:type="spellEnd"/>
      <w:r w:rsidRPr="004E3363">
        <w:rPr>
          <w:bdr w:val="nil"/>
          <w:lang w:val="uk-UA"/>
        </w:rPr>
        <w:t xml:space="preserve">. За хімічною структурою є циклічним поліпептидом.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бактерицидно діє на </w:t>
      </w:r>
      <w:proofErr w:type="spellStart"/>
      <w:r w:rsidRPr="004E3363">
        <w:rPr>
          <w:bdr w:val="nil"/>
          <w:lang w:val="uk-UA"/>
        </w:rPr>
        <w:t>грамнегативні</w:t>
      </w:r>
      <w:proofErr w:type="spellEnd"/>
      <w:r w:rsidRPr="004E3363">
        <w:rPr>
          <w:bdr w:val="nil"/>
          <w:lang w:val="uk-UA"/>
        </w:rPr>
        <w:t xml:space="preserve"> бактерії (</w:t>
      </w:r>
      <w:r w:rsidRPr="004E3363">
        <w:rPr>
          <w:i/>
          <w:bdr w:val="nil"/>
          <w:lang w:val="uk-UA"/>
        </w:rPr>
        <w:t xml:space="preserve">E. </w:t>
      </w:r>
      <w:proofErr w:type="spellStart"/>
      <w:r w:rsidRPr="004E3363">
        <w:rPr>
          <w:i/>
          <w:bdr w:val="nil"/>
          <w:lang w:val="uk-UA"/>
        </w:rPr>
        <w:t>coli</w:t>
      </w:r>
      <w:proofErr w:type="spellEnd"/>
      <w:r w:rsidRPr="004E3363">
        <w:rPr>
          <w:i/>
          <w:bdr w:val="nil"/>
          <w:lang w:val="uk-UA"/>
        </w:rPr>
        <w:t xml:space="preserve">, </w:t>
      </w:r>
      <w:proofErr w:type="spellStart"/>
      <w:r w:rsidRPr="004E3363">
        <w:rPr>
          <w:i/>
          <w:bdr w:val="nil"/>
          <w:lang w:val="uk-UA"/>
        </w:rPr>
        <w:t>Salmonella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Pasteure</w:t>
      </w:r>
      <w:r w:rsidRPr="004E3363">
        <w:rPr>
          <w:i/>
          <w:bdr w:val="nil"/>
          <w:lang w:val="uk-UA" w:bidi="en-US"/>
        </w:rPr>
        <w:t>l</w:t>
      </w:r>
      <w:r w:rsidRPr="004E3363">
        <w:rPr>
          <w:i/>
          <w:bdr w:val="nil"/>
          <w:lang w:val="uk-UA"/>
        </w:rPr>
        <w:t>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Haemophilus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 xml:space="preserve">., </w:t>
      </w:r>
      <w:proofErr w:type="spellStart"/>
      <w:r w:rsidRPr="004E3363">
        <w:rPr>
          <w:i/>
          <w:bdr w:val="nil"/>
          <w:lang w:val="uk-UA"/>
        </w:rPr>
        <w:t>Bordetella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spp</w:t>
      </w:r>
      <w:proofErr w:type="spellEnd"/>
      <w:r w:rsidRPr="004E3363">
        <w:rPr>
          <w:i/>
          <w:bdr w:val="nil"/>
          <w:lang w:val="uk-UA"/>
        </w:rPr>
        <w:t>.</w:t>
      </w:r>
      <w:r w:rsidRPr="004E3363">
        <w:rPr>
          <w:bdr w:val="nil"/>
          <w:lang w:val="uk-UA"/>
        </w:rPr>
        <w:t xml:space="preserve">).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зв’язується з фосфоліпідами цитоплазматичної мембрани, чим підсилює її проникливість як для внутрішньо-, так і для </w:t>
      </w:r>
      <w:proofErr w:type="spellStart"/>
      <w:r w:rsidRPr="004E3363">
        <w:rPr>
          <w:bdr w:val="nil"/>
          <w:lang w:val="uk-UA"/>
        </w:rPr>
        <w:t>зовнішньоклітинних</w:t>
      </w:r>
      <w:proofErr w:type="spellEnd"/>
      <w:r w:rsidRPr="004E3363">
        <w:rPr>
          <w:bdr w:val="nil"/>
          <w:lang w:val="uk-UA"/>
        </w:rPr>
        <w:t xml:space="preserve"> компонентів, що веде до деструкції клітини бактерії.  </w:t>
      </w:r>
    </w:p>
    <w:p w14:paraId="1BBE764E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добре і швидко всмоктується з травного каналу і розподіляється в органах і тканинах, проходить через </w:t>
      </w:r>
      <w:proofErr w:type="spellStart"/>
      <w:r w:rsidRPr="004E3363">
        <w:rPr>
          <w:bdr w:val="nil"/>
          <w:lang w:val="uk-UA"/>
        </w:rPr>
        <w:t>гематоенцефалічний</w:t>
      </w:r>
      <w:proofErr w:type="spellEnd"/>
      <w:r w:rsidRPr="004E3363">
        <w:rPr>
          <w:bdr w:val="nil"/>
          <w:lang w:val="uk-UA"/>
        </w:rPr>
        <w:t xml:space="preserve"> бар'єр. Максимальна концентрація досягається через 1-1,5 години після введення препарату та зберігається протягом 6 годин. Терапевтична концентрація зберігається до 24 годин. Виводиться </w:t>
      </w: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частково у вигляді метаболіту </w:t>
      </w:r>
      <w:proofErr w:type="spellStart"/>
      <w:r w:rsidRPr="004E3363">
        <w:rPr>
          <w:bdr w:val="nil"/>
          <w:lang w:val="uk-UA"/>
        </w:rPr>
        <w:t>ципрофлоксацину</w:t>
      </w:r>
      <w:proofErr w:type="spellEnd"/>
      <w:r w:rsidRPr="004E3363">
        <w:rPr>
          <w:bdr w:val="nil"/>
          <w:lang w:val="uk-UA"/>
        </w:rPr>
        <w:t xml:space="preserve"> із сечею і фекаліями. Період </w:t>
      </w:r>
      <w:proofErr w:type="spellStart"/>
      <w:r w:rsidRPr="004E3363">
        <w:rPr>
          <w:bdr w:val="nil"/>
          <w:lang w:val="uk-UA"/>
        </w:rPr>
        <w:t>напіввиведення</w:t>
      </w:r>
      <w:proofErr w:type="spellEnd"/>
      <w:r w:rsidRPr="004E3363">
        <w:rPr>
          <w:bdr w:val="nil"/>
          <w:lang w:val="uk-UA"/>
        </w:rPr>
        <w:t xml:space="preserve"> у телят становить 1,2 години.</w:t>
      </w:r>
    </w:p>
    <w:p w14:paraId="1BBE764F" w14:textId="77777777" w:rsidR="0044064F" w:rsidRPr="004E3363" w:rsidRDefault="004A0467" w:rsidP="004A0467">
      <w:pPr>
        <w:ind w:firstLine="425"/>
        <w:jc w:val="both"/>
        <w:rPr>
          <w:bdr w:val="nil"/>
          <w:lang w:val="uk-UA"/>
        </w:rPr>
      </w:pPr>
      <w:proofErr w:type="spellStart"/>
      <w:r w:rsidRPr="004E3363">
        <w:rPr>
          <w:bdr w:val="nil"/>
          <w:lang w:val="uk-UA"/>
        </w:rPr>
        <w:t>Триметоприм</w:t>
      </w:r>
      <w:proofErr w:type="spellEnd"/>
      <w:r w:rsidRPr="004E3363">
        <w:rPr>
          <w:bdr w:val="nil"/>
          <w:lang w:val="uk-UA"/>
        </w:rPr>
        <w:t xml:space="preserve"> швидко всмоктується з травного каналу, добре розподіляється по всіх тканинах і рідинах організму. Концентрація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 xml:space="preserve"> в сироватці крові досягає максимуму через 1,5 години після введення. </w:t>
      </w:r>
      <w:proofErr w:type="spellStart"/>
      <w:r w:rsidRPr="004E3363">
        <w:rPr>
          <w:bdr w:val="nil"/>
          <w:lang w:val="uk-UA"/>
        </w:rPr>
        <w:t>Метаболізується</w:t>
      </w:r>
      <w:proofErr w:type="spellEnd"/>
      <w:r w:rsidRPr="004E3363">
        <w:rPr>
          <w:bdr w:val="nil"/>
          <w:lang w:val="uk-UA"/>
        </w:rPr>
        <w:t xml:space="preserve"> в печінці і виділяється, головним чином, нирками шляхом </w:t>
      </w:r>
      <w:proofErr w:type="spellStart"/>
      <w:r w:rsidRPr="004E3363">
        <w:rPr>
          <w:bdr w:val="nil"/>
          <w:lang w:val="uk-UA"/>
        </w:rPr>
        <w:t>клубочкової</w:t>
      </w:r>
      <w:proofErr w:type="spellEnd"/>
      <w:r w:rsidRPr="004E3363">
        <w:rPr>
          <w:bdr w:val="nil"/>
          <w:lang w:val="uk-UA"/>
        </w:rPr>
        <w:t xml:space="preserve"> фільтрації та активної </w:t>
      </w:r>
      <w:proofErr w:type="spellStart"/>
      <w:r w:rsidRPr="004E3363">
        <w:rPr>
          <w:bdr w:val="nil"/>
          <w:lang w:val="uk-UA"/>
        </w:rPr>
        <w:t>канальцевої</w:t>
      </w:r>
      <w:proofErr w:type="spellEnd"/>
      <w:r w:rsidRPr="004E3363">
        <w:rPr>
          <w:bdr w:val="nil"/>
          <w:lang w:val="uk-UA"/>
        </w:rPr>
        <w:t xml:space="preserve"> секреції, причому 80-90% - у незміненому вигляді, </w:t>
      </w:r>
    </w:p>
    <w:p w14:paraId="1BBE7650" w14:textId="77777777" w:rsidR="0044064F" w:rsidRPr="004E3363" w:rsidRDefault="0044064F" w:rsidP="0044064F">
      <w:pPr>
        <w:ind w:firstLine="425"/>
        <w:jc w:val="center"/>
        <w:rPr>
          <w:bdr w:val="nil"/>
          <w:lang w:val="uk-UA"/>
        </w:rPr>
      </w:pPr>
    </w:p>
    <w:p w14:paraId="1BBE7651" w14:textId="77777777" w:rsidR="0044064F" w:rsidRPr="004E3363" w:rsidRDefault="0044064F" w:rsidP="0044064F">
      <w:pPr>
        <w:ind w:firstLine="425"/>
        <w:jc w:val="center"/>
        <w:rPr>
          <w:bdr w:val="nil"/>
          <w:lang w:val="uk-UA"/>
        </w:rPr>
      </w:pPr>
      <w:r w:rsidRPr="004E3363">
        <w:rPr>
          <w:bdr w:val="nil"/>
          <w:lang w:val="uk-UA"/>
        </w:rPr>
        <w:t>1</w:t>
      </w:r>
    </w:p>
    <w:p w14:paraId="1BBE7652" w14:textId="77777777" w:rsidR="004A0467" w:rsidRPr="004E3363" w:rsidRDefault="004A0467" w:rsidP="0044064F">
      <w:pPr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lastRenderedPageBreak/>
        <w:t xml:space="preserve">інша частина - у вигляді неактивних метаболітів. Невелика кількість виводиться з фекаліями. Концентрація в сечі значно вища, ніж у крові. Період </w:t>
      </w:r>
      <w:proofErr w:type="spellStart"/>
      <w:r w:rsidRPr="004E3363">
        <w:rPr>
          <w:bdr w:val="nil"/>
          <w:lang w:val="uk-UA"/>
        </w:rPr>
        <w:t>напіввиведення</w:t>
      </w:r>
      <w:proofErr w:type="spellEnd"/>
      <w:r w:rsidRPr="004E3363">
        <w:rPr>
          <w:bdr w:val="nil"/>
          <w:lang w:val="uk-UA"/>
        </w:rPr>
        <w:t xml:space="preserve"> становить 8-10 годин.</w:t>
      </w:r>
    </w:p>
    <w:p w14:paraId="1BBE7653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Після перорального застосування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у незначній мірі всмоктується з травного каналу. На відміну від низьких концентрацій колістину в сироватці крові та тканинах, високі та постійні його концентрації присутні у різних відділах травного каналу.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виводиться з організму тварин з фекаліями.</w:t>
      </w:r>
    </w:p>
    <w:p w14:paraId="1BBE7654" w14:textId="77777777" w:rsidR="004A0467" w:rsidRPr="004E3363" w:rsidRDefault="004A0467" w:rsidP="004A0467">
      <w:pPr>
        <w:ind w:firstLine="425"/>
        <w:jc w:val="both"/>
        <w:rPr>
          <w:b/>
          <w:bdr w:val="nil"/>
          <w:lang w:val="uk-UA"/>
        </w:rPr>
      </w:pPr>
      <w:r w:rsidRPr="004E3363">
        <w:rPr>
          <w:b/>
          <w:bdr w:val="nil"/>
          <w:lang w:val="uk-UA"/>
        </w:rPr>
        <w:t>5. Клінічні особливості</w:t>
      </w:r>
    </w:p>
    <w:p w14:paraId="1BBE7655" w14:textId="77777777" w:rsidR="004A0467" w:rsidRPr="004E3363" w:rsidRDefault="004A0467" w:rsidP="004A0467">
      <w:pPr>
        <w:ind w:firstLine="425"/>
        <w:jc w:val="both"/>
        <w:rPr>
          <w:b/>
          <w:bdr w:val="nil"/>
          <w:lang w:val="uk-UA"/>
        </w:rPr>
      </w:pPr>
      <w:r w:rsidRPr="004E3363">
        <w:rPr>
          <w:b/>
          <w:bdr w:val="nil"/>
          <w:lang w:val="uk-UA"/>
        </w:rPr>
        <w:t>5.1. Вид тварин</w:t>
      </w:r>
    </w:p>
    <w:p w14:paraId="1BBE7656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Свійська птиця (бройлери, племінна птиця, ремонтний молодняк курей, батьківське та бройлерні стада, м'ясні індики), велика рогата худоба (телята до 3-х місячного віку).</w:t>
      </w:r>
    </w:p>
    <w:p w14:paraId="1BBE7657" w14:textId="77777777" w:rsidR="004A0467" w:rsidRPr="004E3363" w:rsidRDefault="004A0467" w:rsidP="004A0467">
      <w:pPr>
        <w:ind w:firstLine="425"/>
        <w:jc w:val="both"/>
        <w:rPr>
          <w:b/>
          <w:bdr w:val="nil"/>
          <w:lang w:val="uk-UA"/>
        </w:rPr>
      </w:pPr>
      <w:r w:rsidRPr="004E3363">
        <w:rPr>
          <w:b/>
          <w:bdr w:val="nil"/>
          <w:lang w:val="uk-UA"/>
        </w:rPr>
        <w:t>5.2. Показання до застосування</w:t>
      </w:r>
    </w:p>
    <w:p w14:paraId="1BBE7658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Лікування свійської птиці (бройлери, племінна птиця, ремонтний молодняк курей,  батьківське та бройлерні стада, м'ясні індики) органів дихання (в тому числі при </w:t>
      </w:r>
      <w:proofErr w:type="spellStart"/>
      <w:r w:rsidRPr="004E3363">
        <w:rPr>
          <w:bdr w:val="nil"/>
          <w:lang w:val="uk-UA"/>
        </w:rPr>
        <w:t>пастерельозі</w:t>
      </w:r>
      <w:proofErr w:type="spellEnd"/>
      <w:r w:rsidRPr="004E3363">
        <w:rPr>
          <w:bdr w:val="nil"/>
          <w:lang w:val="uk-UA"/>
        </w:rPr>
        <w:t xml:space="preserve">) та травного каналу, що спричинені мікроорганізмами, чутливими до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колістину</w:t>
      </w:r>
      <w:proofErr w:type="spellEnd"/>
      <w:r w:rsidRPr="004E3363">
        <w:rPr>
          <w:bdr w:val="nil"/>
          <w:lang w:val="uk-UA"/>
        </w:rPr>
        <w:t xml:space="preserve"> та їх комбінацій.</w:t>
      </w:r>
    </w:p>
    <w:p w14:paraId="1BBE7659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Лікування телят (до 3-х місячного віку) при захворюваннях органів дихання та травного каналу (в тому числі при колібактеріозі), що спричинені мікроорганізмами, чутливими до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колістину</w:t>
      </w:r>
      <w:proofErr w:type="spellEnd"/>
      <w:r w:rsidRPr="004E3363">
        <w:rPr>
          <w:bdr w:val="nil"/>
          <w:lang w:val="uk-UA"/>
        </w:rPr>
        <w:t xml:space="preserve"> та їх комбінацій.</w:t>
      </w:r>
    </w:p>
    <w:p w14:paraId="1BBE765A" w14:textId="77777777" w:rsidR="004A0467" w:rsidRPr="004E3363" w:rsidRDefault="004A0467" w:rsidP="004A0467">
      <w:pPr>
        <w:shd w:val="clear" w:color="auto" w:fill="FFFFFF"/>
        <w:tabs>
          <w:tab w:val="left" w:pos="955"/>
        </w:tabs>
        <w:ind w:firstLine="425"/>
        <w:jc w:val="both"/>
      </w:pPr>
      <w:r w:rsidRPr="004E3363">
        <w:rPr>
          <w:b/>
          <w:bCs/>
        </w:rPr>
        <w:t>5.3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Протипоказання</w:t>
      </w:r>
    </w:p>
    <w:p w14:paraId="1BBE765B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тваринам з індивідуальною чутливістю до складових препарату. </w:t>
      </w:r>
    </w:p>
    <w:p w14:paraId="1BBE765C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для нецільових тварин. </w:t>
      </w:r>
    </w:p>
    <w:p w14:paraId="1BBE765D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жуйним тваринам із функціонально розвиненими передшлунками. </w:t>
      </w:r>
    </w:p>
    <w:p w14:paraId="1BBE765E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Не застосовувати тваринам з ознаками захворювань центральної нервової системи та із порушенням розвитку хрящової та кісткової тканин.</w:t>
      </w:r>
    </w:p>
    <w:p w14:paraId="1BBE765F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тваринам з розладами функції нирок та печінки, а також при </w:t>
      </w:r>
      <w:proofErr w:type="spellStart"/>
      <w:r w:rsidRPr="004E3363">
        <w:rPr>
          <w:bdr w:val="nil"/>
          <w:lang w:val="uk-UA"/>
        </w:rPr>
        <w:t>дискразії</w:t>
      </w:r>
      <w:proofErr w:type="spellEnd"/>
      <w:r w:rsidRPr="004E3363">
        <w:rPr>
          <w:bdr w:val="nil"/>
          <w:lang w:val="uk-UA"/>
        </w:rPr>
        <w:t xml:space="preserve"> крові.</w:t>
      </w:r>
    </w:p>
    <w:p w14:paraId="1BBE7660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курям-несучкам, яйця яких призначено для споживання в їжу людям. </w:t>
      </w:r>
    </w:p>
    <w:p w14:paraId="1BBE7661" w14:textId="77777777" w:rsidR="004A0467" w:rsidRPr="004E3363" w:rsidRDefault="004A0467" w:rsidP="004A0467">
      <w:pPr>
        <w:shd w:val="clear" w:color="auto" w:fill="FFFFFF"/>
        <w:tabs>
          <w:tab w:val="left" w:pos="955"/>
        </w:tabs>
        <w:ind w:firstLine="425"/>
        <w:jc w:val="both"/>
        <w:rPr>
          <w:lang w:val="uk-UA" w:eastAsia="en-US" w:bidi="en-US"/>
        </w:rPr>
      </w:pPr>
      <w:r w:rsidRPr="004E3363">
        <w:rPr>
          <w:bdr w:val="nil"/>
          <w:lang w:val="uk-UA"/>
        </w:rPr>
        <w:t xml:space="preserve">Не застосовувати одночасно з нестероїдними протизапальними засобами, антибіотиками групи </w:t>
      </w:r>
      <w:proofErr w:type="spellStart"/>
      <w:r w:rsidRPr="004E3363">
        <w:rPr>
          <w:bdr w:val="nil"/>
          <w:lang w:val="uk-UA"/>
        </w:rPr>
        <w:t>макролідів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тетрациклінами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хлорамфеніколом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аміноглікозидами</w:t>
      </w:r>
      <w:proofErr w:type="spellEnd"/>
      <w:r w:rsidRPr="004E3363">
        <w:rPr>
          <w:bdr w:val="nil"/>
          <w:lang w:val="uk-UA"/>
        </w:rPr>
        <w:t xml:space="preserve"> (</w:t>
      </w:r>
      <w:proofErr w:type="spellStart"/>
      <w:r w:rsidRPr="004E3363">
        <w:rPr>
          <w:bdr w:val="nil"/>
          <w:lang w:val="uk-UA"/>
        </w:rPr>
        <w:t>гентаміцином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неоміцином</w:t>
      </w:r>
      <w:proofErr w:type="spellEnd"/>
      <w:r w:rsidRPr="004E3363">
        <w:rPr>
          <w:bdr w:val="nil"/>
          <w:lang w:val="uk-UA"/>
        </w:rPr>
        <w:t xml:space="preserve">), препаратами, що містять катіони </w:t>
      </w:r>
      <w:r w:rsidRPr="004E3363">
        <w:rPr>
          <w:bdr w:val="nil"/>
          <w:lang w:val="uk-UA" w:bidi="en-US"/>
        </w:rPr>
        <w:t>F</w:t>
      </w:r>
      <w:r w:rsidRPr="004E3363">
        <w:rPr>
          <w:bdr w:val="nil"/>
          <w:lang w:val="uk-UA"/>
        </w:rPr>
        <w:t>е</w:t>
      </w:r>
      <w:r w:rsidRPr="004E3363">
        <w:rPr>
          <w:bdr w:val="nil"/>
          <w:vertAlign w:val="superscript"/>
          <w:lang w:val="uk-UA"/>
        </w:rPr>
        <w:t>3+,</w:t>
      </w:r>
      <w:r w:rsidRPr="004E3363">
        <w:rPr>
          <w:bdr w:val="nil"/>
          <w:lang w:val="uk-UA"/>
        </w:rPr>
        <w:t xml:space="preserve"> Са</w:t>
      </w:r>
      <w:r w:rsidRPr="004E3363">
        <w:rPr>
          <w:bdr w:val="nil"/>
          <w:vertAlign w:val="superscript"/>
          <w:lang w:val="uk-UA"/>
        </w:rPr>
        <w:t>2+,</w:t>
      </w:r>
      <w:r w:rsidRPr="004E3363">
        <w:rPr>
          <w:bdr w:val="nil"/>
          <w:lang w:val="uk-UA"/>
        </w:rPr>
        <w:t xml:space="preserve"> </w:t>
      </w:r>
      <w:r w:rsidRPr="004E3363">
        <w:rPr>
          <w:bdr w:val="nil"/>
          <w:lang w:val="uk-UA" w:bidi="en-US"/>
        </w:rPr>
        <w:t>Al</w:t>
      </w:r>
      <w:r w:rsidRPr="004E3363">
        <w:rPr>
          <w:bdr w:val="nil"/>
          <w:vertAlign w:val="superscript"/>
          <w:lang w:val="uk-UA"/>
        </w:rPr>
        <w:t>3+</w:t>
      </w:r>
      <w:r w:rsidRPr="004E3363">
        <w:rPr>
          <w:bdr w:val="nil"/>
          <w:lang w:val="uk-UA"/>
        </w:rPr>
        <w:t xml:space="preserve"> і </w:t>
      </w:r>
      <w:r w:rsidRPr="004E3363">
        <w:rPr>
          <w:bdr w:val="nil"/>
          <w:lang w:val="uk-UA" w:bidi="en-US"/>
        </w:rPr>
        <w:t>Mg</w:t>
      </w:r>
      <w:r w:rsidRPr="004E3363">
        <w:rPr>
          <w:bdr w:val="nil"/>
          <w:vertAlign w:val="superscript"/>
          <w:lang w:val="uk-UA"/>
        </w:rPr>
        <w:t>2+</w:t>
      </w:r>
      <w:r w:rsidRPr="004E3363">
        <w:rPr>
          <w:bdr w:val="nil"/>
          <w:lang w:val="uk-UA"/>
        </w:rPr>
        <w:t xml:space="preserve">, препаратами, що легко відщеплюють сірку (глауберова сіль та ін.), ненасиченими жирними кислотами та поліфосфатами, а також з </w:t>
      </w:r>
      <w:proofErr w:type="spellStart"/>
      <w:r w:rsidRPr="004E3363">
        <w:rPr>
          <w:bdr w:val="nil"/>
          <w:lang w:val="uk-UA"/>
        </w:rPr>
        <w:t>міорелаксантами</w:t>
      </w:r>
      <w:proofErr w:type="spellEnd"/>
      <w:r w:rsidRPr="004E3363">
        <w:rPr>
          <w:bdr w:val="nil"/>
          <w:lang w:val="uk-UA"/>
        </w:rPr>
        <w:t xml:space="preserve"> та </w:t>
      </w:r>
      <w:proofErr w:type="spellStart"/>
      <w:r w:rsidRPr="004E3363">
        <w:rPr>
          <w:bdr w:val="nil"/>
          <w:lang w:val="uk-UA"/>
        </w:rPr>
        <w:t>анестетиками</w:t>
      </w:r>
      <w:proofErr w:type="spellEnd"/>
      <w:r w:rsidRPr="004E3363">
        <w:rPr>
          <w:bdr w:val="nil"/>
          <w:lang w:val="uk-UA"/>
        </w:rPr>
        <w:t xml:space="preserve"> (небезпека розвитку паралічу дихальних м'язів).</w:t>
      </w:r>
    </w:p>
    <w:p w14:paraId="1BBE7662" w14:textId="77777777" w:rsidR="004A0467" w:rsidRPr="004E3363" w:rsidRDefault="004A0467" w:rsidP="004A0467">
      <w:pPr>
        <w:shd w:val="clear" w:color="auto" w:fill="FFFFFF"/>
        <w:tabs>
          <w:tab w:val="left" w:pos="955"/>
        </w:tabs>
        <w:ind w:firstLine="425"/>
        <w:jc w:val="both"/>
      </w:pPr>
      <w:r w:rsidRPr="004E3363">
        <w:rPr>
          <w:b/>
          <w:bCs/>
        </w:rPr>
        <w:t>5.4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Побічна дія</w:t>
      </w:r>
    </w:p>
    <w:p w14:paraId="1BBE7663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При застосуванні за показаннями у рекомендованих дозах побічних явищ та ускладнень, як правило, не спостерігається.</w:t>
      </w:r>
    </w:p>
    <w:p w14:paraId="1BBE7664" w14:textId="77777777" w:rsidR="004A0467" w:rsidRPr="004E3363" w:rsidRDefault="004A0467" w:rsidP="004A0467">
      <w:pPr>
        <w:ind w:firstLine="425"/>
        <w:jc w:val="both"/>
        <w:rPr>
          <w:lang w:val="uk-UA" w:eastAsia="uk-UA"/>
        </w:rPr>
      </w:pPr>
      <w:r w:rsidRPr="004E3363">
        <w:rPr>
          <w:bdr w:val="nil"/>
          <w:lang w:val="uk-UA"/>
        </w:rPr>
        <w:t>У випадку побічної дії</w:t>
      </w:r>
      <w:r w:rsidRPr="004E3363">
        <w:rPr>
          <w:bdr w:val="nil"/>
          <w:lang w:val="uk-UA" w:bidi="en-US"/>
        </w:rPr>
        <w:t> </w:t>
      </w:r>
      <w:r w:rsidRPr="004E3363">
        <w:rPr>
          <w:bdr w:val="nil"/>
          <w:lang w:val="uk-UA"/>
        </w:rPr>
        <w:t xml:space="preserve">(відмова від корму, блювота) лікування необхідно припинити. При тривалому застосуванні </w:t>
      </w: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 може викликати </w:t>
      </w:r>
      <w:proofErr w:type="spellStart"/>
      <w:r w:rsidRPr="004E3363">
        <w:rPr>
          <w:bdr w:val="nil"/>
          <w:lang w:val="uk-UA"/>
        </w:rPr>
        <w:t>атропатії</w:t>
      </w:r>
      <w:proofErr w:type="spellEnd"/>
      <w:r w:rsidRPr="004E3363">
        <w:rPr>
          <w:bdr w:val="nil"/>
          <w:lang w:val="uk-UA"/>
        </w:rPr>
        <w:t xml:space="preserve"> та кульгавість у молодих тварин, яка виникає внаслідок пошкодження суглобових хрящів.</w:t>
      </w:r>
    </w:p>
    <w:p w14:paraId="1BBE7665" w14:textId="77777777" w:rsidR="004A0467" w:rsidRPr="004E3363" w:rsidRDefault="004A0467" w:rsidP="004A0467">
      <w:pPr>
        <w:keepNext/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4E3363">
        <w:rPr>
          <w:b/>
          <w:bCs/>
          <w:lang w:val="uk-UA"/>
        </w:rPr>
        <w:t>5.5</w:t>
      </w:r>
      <w:r w:rsidRPr="004E3363">
        <w:rPr>
          <w:b/>
          <w:bCs/>
          <w:lang w:val="uk-UA"/>
        </w:rPr>
        <w:tab/>
        <w:t>Особливі застереження при використанні</w:t>
      </w:r>
    </w:p>
    <w:p w14:paraId="1BBE7666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При застосуванні препарату, до складу якого входить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, слід враховувати загальноприйняті принципи щодо використання протимікробних препаратів.  Слід враховувати, що </w:t>
      </w:r>
      <w:proofErr w:type="spellStart"/>
      <w:r w:rsidRPr="004E3363">
        <w:rPr>
          <w:bdr w:val="nil"/>
          <w:lang w:val="uk-UA"/>
        </w:rPr>
        <w:t>колістин</w:t>
      </w:r>
      <w:proofErr w:type="spellEnd"/>
      <w:r w:rsidRPr="004E3363">
        <w:rPr>
          <w:bdr w:val="nil"/>
          <w:lang w:val="uk-UA"/>
        </w:rPr>
        <w:t xml:space="preserve"> призначають у гуманній медицині для лікування інфекцій, що спричинені </w:t>
      </w:r>
      <w:proofErr w:type="spellStart"/>
      <w:r w:rsidRPr="004E3363">
        <w:rPr>
          <w:bdr w:val="nil"/>
          <w:lang w:val="uk-UA"/>
        </w:rPr>
        <w:t>мультирезистентними</w:t>
      </w:r>
      <w:proofErr w:type="spellEnd"/>
      <w:r w:rsidRPr="004E3363">
        <w:rPr>
          <w:bdr w:val="nil"/>
          <w:lang w:val="uk-UA"/>
        </w:rPr>
        <w:t xml:space="preserve"> мікроорганізмами.</w:t>
      </w:r>
    </w:p>
    <w:p w14:paraId="1BBE7667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Оскільки </w:t>
      </w:r>
      <w:proofErr w:type="spellStart"/>
      <w:r w:rsidRPr="004E3363">
        <w:rPr>
          <w:bdr w:val="nil"/>
          <w:lang w:val="uk-UA"/>
        </w:rPr>
        <w:t>енрофлоксацин</w:t>
      </w:r>
      <w:proofErr w:type="spellEnd"/>
      <w:r w:rsidRPr="004E3363">
        <w:rPr>
          <w:bdr w:val="nil"/>
          <w:lang w:val="uk-UA"/>
        </w:rPr>
        <w:t xml:space="preserve">, який входить до складу препарату, спочатку був дозволений до використання у птиці, спостерігається значне зниження чутливості </w:t>
      </w:r>
      <w:r w:rsidRPr="004E3363">
        <w:rPr>
          <w:i/>
          <w:bdr w:val="nil"/>
          <w:lang w:val="uk-UA"/>
        </w:rPr>
        <w:t xml:space="preserve">Е. </w:t>
      </w:r>
      <w:proofErr w:type="spellStart"/>
      <w:r w:rsidRPr="004E3363">
        <w:rPr>
          <w:i/>
          <w:bdr w:val="nil"/>
          <w:lang w:val="uk-UA"/>
        </w:rPr>
        <w:t>со</w:t>
      </w:r>
      <w:r w:rsidRPr="004E3363">
        <w:rPr>
          <w:i/>
          <w:bdr w:val="nil"/>
          <w:lang w:val="uk-UA" w:bidi="en-US"/>
        </w:rPr>
        <w:t>l</w:t>
      </w:r>
      <w:r w:rsidRPr="004E3363">
        <w:rPr>
          <w:i/>
          <w:bdr w:val="nil"/>
          <w:lang w:val="uk-UA"/>
        </w:rPr>
        <w:t>і</w:t>
      </w:r>
      <w:proofErr w:type="spellEnd"/>
      <w:r w:rsidRPr="004E3363">
        <w:rPr>
          <w:bdr w:val="nil"/>
          <w:lang w:val="uk-UA"/>
        </w:rPr>
        <w:t xml:space="preserve"> до </w:t>
      </w:r>
      <w:proofErr w:type="spellStart"/>
      <w:r w:rsidRPr="004E3363">
        <w:rPr>
          <w:bdr w:val="nil"/>
          <w:lang w:val="uk-UA"/>
        </w:rPr>
        <w:t>фторхінолонів</w:t>
      </w:r>
      <w:proofErr w:type="spellEnd"/>
      <w:r w:rsidRPr="004E3363">
        <w:rPr>
          <w:bdr w:val="nil"/>
          <w:lang w:val="uk-UA"/>
        </w:rPr>
        <w:t xml:space="preserve"> та появи резистентних штамів. Також у Європейському Союзі було зареєстровано випадки резистентності </w:t>
      </w:r>
      <w:proofErr w:type="spellStart"/>
      <w:r w:rsidRPr="004E3363">
        <w:rPr>
          <w:i/>
          <w:bdr w:val="nil"/>
          <w:lang w:val="uk-UA"/>
        </w:rPr>
        <w:t>Mycoplasma</w:t>
      </w:r>
      <w:proofErr w:type="spellEnd"/>
      <w:r w:rsidRPr="004E3363">
        <w:rPr>
          <w:i/>
          <w:bdr w:val="nil"/>
          <w:lang w:val="uk-UA"/>
        </w:rPr>
        <w:t xml:space="preserve"> </w:t>
      </w:r>
      <w:proofErr w:type="spellStart"/>
      <w:r w:rsidRPr="004E3363">
        <w:rPr>
          <w:i/>
          <w:bdr w:val="nil"/>
          <w:lang w:val="uk-UA"/>
        </w:rPr>
        <w:t>synoviae</w:t>
      </w:r>
      <w:proofErr w:type="spellEnd"/>
      <w:r w:rsidRPr="004E3363">
        <w:rPr>
          <w:bdr w:val="nil"/>
          <w:lang w:val="uk-UA"/>
        </w:rPr>
        <w:t xml:space="preserve"> до </w:t>
      </w:r>
      <w:proofErr w:type="spellStart"/>
      <w:r w:rsidRPr="004E3363">
        <w:rPr>
          <w:bdr w:val="nil"/>
          <w:lang w:val="uk-UA"/>
        </w:rPr>
        <w:t>фторхінолонів</w:t>
      </w:r>
      <w:proofErr w:type="spellEnd"/>
      <w:r w:rsidRPr="004E3363">
        <w:rPr>
          <w:bdr w:val="nil"/>
          <w:lang w:val="uk-UA"/>
        </w:rPr>
        <w:t>.</w:t>
      </w:r>
    </w:p>
    <w:p w14:paraId="1BBE7668" w14:textId="77777777" w:rsidR="004A0467" w:rsidRPr="004E3363" w:rsidRDefault="004A0467" w:rsidP="004A0467">
      <w:pPr>
        <w:ind w:firstLine="425"/>
        <w:jc w:val="both"/>
        <w:rPr>
          <w:lang w:val="uk-UA"/>
        </w:rPr>
      </w:pPr>
      <w:r w:rsidRPr="004E3363">
        <w:rPr>
          <w:bdr w:val="nil"/>
          <w:lang w:val="uk-UA"/>
        </w:rPr>
        <w:t>Поява опалесценції не впливає на якість препарату.</w:t>
      </w:r>
    </w:p>
    <w:p w14:paraId="1BBE7669" w14:textId="77777777" w:rsidR="004A0467" w:rsidRPr="004E3363" w:rsidRDefault="004A0467" w:rsidP="004A0467">
      <w:pPr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4E3363">
        <w:rPr>
          <w:b/>
          <w:bCs/>
          <w:lang w:val="uk-UA"/>
        </w:rPr>
        <w:t>5.6</w:t>
      </w:r>
      <w:r w:rsidRPr="004E3363">
        <w:rPr>
          <w:b/>
          <w:bCs/>
          <w:lang w:val="uk-UA"/>
        </w:rPr>
        <w:tab/>
        <w:t>Використання під час вагітності, лактації, несучості</w:t>
      </w:r>
    </w:p>
    <w:p w14:paraId="1BBE766A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курям-несучкам, яйця яких призначено для споживання в їжу людям. </w:t>
      </w:r>
    </w:p>
    <w:p w14:paraId="1BBE766B" w14:textId="77777777" w:rsidR="004A0467" w:rsidRPr="004E3363" w:rsidRDefault="004A0467" w:rsidP="004A0467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4E3363">
        <w:rPr>
          <w:b/>
          <w:bCs/>
          <w:lang w:val="uk-UA"/>
        </w:rPr>
        <w:t>Взаємодія з іншими засобами або інші форми взаємодії</w:t>
      </w:r>
    </w:p>
    <w:p w14:paraId="1BBE766C" w14:textId="77777777" w:rsidR="0044064F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Не застосовувати одночасно з нестероїдними протизапальними засобами, антибіотиками групи </w:t>
      </w:r>
    </w:p>
    <w:p w14:paraId="1BBE766D" w14:textId="77777777" w:rsidR="0044064F" w:rsidRPr="004E3363" w:rsidRDefault="0044064F" w:rsidP="004A0467">
      <w:pPr>
        <w:ind w:firstLine="425"/>
        <w:jc w:val="both"/>
        <w:rPr>
          <w:bdr w:val="nil"/>
          <w:lang w:val="uk-UA"/>
        </w:rPr>
      </w:pPr>
    </w:p>
    <w:p w14:paraId="1BBE766E" w14:textId="77777777" w:rsidR="0044064F" w:rsidRPr="004E3363" w:rsidRDefault="0044064F" w:rsidP="0044064F">
      <w:pPr>
        <w:ind w:firstLine="425"/>
        <w:jc w:val="center"/>
        <w:rPr>
          <w:bdr w:val="nil"/>
          <w:lang w:val="uk-UA"/>
        </w:rPr>
      </w:pPr>
      <w:r w:rsidRPr="004E3363">
        <w:rPr>
          <w:bdr w:val="nil"/>
          <w:lang w:val="uk-UA"/>
        </w:rPr>
        <w:t>2</w:t>
      </w:r>
    </w:p>
    <w:p w14:paraId="1BBE766F" w14:textId="77777777" w:rsidR="0044064F" w:rsidRPr="004E3363" w:rsidRDefault="0044064F" w:rsidP="0044064F">
      <w:pPr>
        <w:ind w:firstLine="425"/>
        <w:rPr>
          <w:bdr w:val="nil"/>
          <w:lang w:val="uk-UA"/>
        </w:rPr>
      </w:pPr>
    </w:p>
    <w:p w14:paraId="1BBE7670" w14:textId="77777777" w:rsidR="004A0467" w:rsidRPr="004E3363" w:rsidRDefault="004A0467" w:rsidP="0044064F">
      <w:pPr>
        <w:jc w:val="both"/>
        <w:rPr>
          <w:lang w:val="uk-UA"/>
        </w:rPr>
      </w:pPr>
      <w:proofErr w:type="spellStart"/>
      <w:r w:rsidRPr="004E3363">
        <w:rPr>
          <w:bdr w:val="nil"/>
          <w:lang w:val="uk-UA"/>
        </w:rPr>
        <w:t>макролідів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тетрациклінами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хлорамфеніколом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аміноглікозидами</w:t>
      </w:r>
      <w:proofErr w:type="spellEnd"/>
      <w:r w:rsidRPr="004E3363">
        <w:rPr>
          <w:bdr w:val="nil"/>
          <w:lang w:val="uk-UA"/>
        </w:rPr>
        <w:t xml:space="preserve"> (</w:t>
      </w:r>
      <w:proofErr w:type="spellStart"/>
      <w:r w:rsidRPr="004E3363">
        <w:rPr>
          <w:bdr w:val="nil"/>
          <w:lang w:val="uk-UA"/>
        </w:rPr>
        <w:t>гентаміцином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неоміцином</w:t>
      </w:r>
      <w:proofErr w:type="spellEnd"/>
      <w:r w:rsidRPr="004E3363">
        <w:rPr>
          <w:bdr w:val="nil"/>
          <w:lang w:val="uk-UA"/>
        </w:rPr>
        <w:t xml:space="preserve">), препаратами, що містять катіони </w:t>
      </w:r>
      <w:r w:rsidRPr="004E3363">
        <w:rPr>
          <w:bdr w:val="nil"/>
          <w:lang w:val="uk-UA" w:bidi="en-US"/>
        </w:rPr>
        <w:t>F</w:t>
      </w:r>
      <w:r w:rsidRPr="004E3363">
        <w:rPr>
          <w:bdr w:val="nil"/>
          <w:lang w:val="uk-UA"/>
        </w:rPr>
        <w:t>е</w:t>
      </w:r>
      <w:r w:rsidRPr="004E3363">
        <w:rPr>
          <w:bdr w:val="nil"/>
          <w:vertAlign w:val="superscript"/>
          <w:lang w:val="uk-UA"/>
        </w:rPr>
        <w:t>3+,</w:t>
      </w:r>
      <w:r w:rsidRPr="004E3363">
        <w:rPr>
          <w:bdr w:val="nil"/>
          <w:lang w:val="uk-UA"/>
        </w:rPr>
        <w:t xml:space="preserve"> Са</w:t>
      </w:r>
      <w:r w:rsidRPr="004E3363">
        <w:rPr>
          <w:bdr w:val="nil"/>
          <w:vertAlign w:val="superscript"/>
          <w:lang w:val="uk-UA"/>
        </w:rPr>
        <w:t>2+,</w:t>
      </w:r>
      <w:r w:rsidRPr="004E3363">
        <w:rPr>
          <w:bdr w:val="nil"/>
          <w:lang w:val="uk-UA"/>
        </w:rPr>
        <w:t xml:space="preserve"> </w:t>
      </w:r>
      <w:r w:rsidRPr="004E3363">
        <w:rPr>
          <w:bdr w:val="nil"/>
          <w:lang w:val="uk-UA" w:bidi="en-US"/>
        </w:rPr>
        <w:t>Al</w:t>
      </w:r>
      <w:r w:rsidRPr="004E3363">
        <w:rPr>
          <w:bdr w:val="nil"/>
          <w:vertAlign w:val="superscript"/>
          <w:lang w:val="uk-UA"/>
        </w:rPr>
        <w:t>3+</w:t>
      </w:r>
      <w:r w:rsidRPr="004E3363">
        <w:rPr>
          <w:bdr w:val="nil"/>
          <w:lang w:val="uk-UA"/>
        </w:rPr>
        <w:t xml:space="preserve"> і </w:t>
      </w:r>
      <w:r w:rsidRPr="004E3363">
        <w:rPr>
          <w:bdr w:val="nil"/>
          <w:lang w:val="uk-UA" w:bidi="en-US"/>
        </w:rPr>
        <w:t>Mg</w:t>
      </w:r>
      <w:r w:rsidRPr="004E3363">
        <w:rPr>
          <w:bdr w:val="nil"/>
          <w:vertAlign w:val="superscript"/>
          <w:lang w:val="uk-UA"/>
        </w:rPr>
        <w:t>2+</w:t>
      </w:r>
      <w:r w:rsidRPr="004E3363">
        <w:rPr>
          <w:bdr w:val="nil"/>
          <w:lang w:val="uk-UA"/>
        </w:rPr>
        <w:t xml:space="preserve">, препаратами, що легко відщеплюють сірку (глауберова сіль та ін.), ненасиченими жирними кислотами та поліфосфатами, а також з </w:t>
      </w:r>
      <w:proofErr w:type="spellStart"/>
      <w:r w:rsidRPr="004E3363">
        <w:rPr>
          <w:bdr w:val="nil"/>
          <w:lang w:val="uk-UA"/>
        </w:rPr>
        <w:t>міорелаксантами</w:t>
      </w:r>
      <w:proofErr w:type="spellEnd"/>
      <w:r w:rsidRPr="004E3363">
        <w:rPr>
          <w:bdr w:val="nil"/>
          <w:lang w:val="uk-UA"/>
        </w:rPr>
        <w:t xml:space="preserve"> та </w:t>
      </w:r>
      <w:proofErr w:type="spellStart"/>
      <w:r w:rsidRPr="004E3363">
        <w:rPr>
          <w:bdr w:val="nil"/>
          <w:lang w:val="uk-UA"/>
        </w:rPr>
        <w:t>анестетиками</w:t>
      </w:r>
      <w:proofErr w:type="spellEnd"/>
      <w:r w:rsidRPr="004E3363">
        <w:rPr>
          <w:bdr w:val="nil"/>
          <w:lang w:val="uk-UA"/>
        </w:rPr>
        <w:t xml:space="preserve"> (небезпека розвитку паралічу дихальних м'язів).</w:t>
      </w:r>
    </w:p>
    <w:p w14:paraId="1BBE7671" w14:textId="77777777" w:rsidR="004A0467" w:rsidRPr="004E3363" w:rsidRDefault="004A0467" w:rsidP="004A0467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4E3363">
        <w:rPr>
          <w:b/>
          <w:bCs/>
          <w:lang w:val="uk-UA"/>
        </w:rPr>
        <w:t xml:space="preserve"> Дози і способи введення тваринам різного віку</w:t>
      </w:r>
    </w:p>
    <w:p w14:paraId="1BBE7672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Перорально з питною водою протягом 3-5 діб у дозах: </w:t>
      </w:r>
    </w:p>
    <w:p w14:paraId="1BBE7673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свійська птиця (бройлери, племінна птиця, ремонтний молодняк курей, батьківське та бройлерні стада, м'ясні індики) - 1,0 мл препарату (що відповідає 100 мг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; 30 мг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 xml:space="preserve"> ; 500 000 MO колістину сульфату) на 1 л питної води щодобово.</w:t>
      </w:r>
    </w:p>
    <w:p w14:paraId="1BBE7674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Препарат птиці застосовують груповим методом, кількість препарату в мл, яку необхідно додати до питної води, що птиця випиває за добу, розраховують по формулі:</w:t>
      </w:r>
    </w:p>
    <w:p w14:paraId="1BBE7675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Об’єм препарату в мл (добова доза) = Кількість голів х на кількість питної води, що випиває одна птиця за добу (л) х 1,0 мл (кількість препарату на 1 л води);</w:t>
      </w:r>
    </w:p>
    <w:p w14:paraId="1BBE7676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телята (до 3-х місячного віку) – 0,5-0,8 мл препарату на 10 кг маси тіла тварини (що відповідає 5-8 мг </w:t>
      </w:r>
      <w:proofErr w:type="spellStart"/>
      <w:r w:rsidRPr="004E3363">
        <w:rPr>
          <w:bdr w:val="nil"/>
          <w:lang w:val="uk-UA"/>
        </w:rPr>
        <w:t>енрофлоксацину</w:t>
      </w:r>
      <w:proofErr w:type="spellEnd"/>
      <w:r w:rsidRPr="004E3363">
        <w:rPr>
          <w:bdr w:val="nil"/>
          <w:lang w:val="uk-UA"/>
        </w:rPr>
        <w:t xml:space="preserve">; 1,5-2,4 мг </w:t>
      </w:r>
      <w:proofErr w:type="spellStart"/>
      <w:r w:rsidRPr="004E3363">
        <w:rPr>
          <w:bdr w:val="nil"/>
          <w:lang w:val="uk-UA"/>
        </w:rPr>
        <w:t>триметоприму</w:t>
      </w:r>
      <w:proofErr w:type="spellEnd"/>
      <w:r w:rsidRPr="004E3363">
        <w:rPr>
          <w:bdr w:val="nil"/>
          <w:lang w:val="uk-UA"/>
        </w:rPr>
        <w:t>; 25000-40000 MO колістину сульфату на 1 маси тіла) один раз на добу. Препарат телятам застосовують індивідуально.</w:t>
      </w:r>
    </w:p>
    <w:p w14:paraId="1BBE7677" w14:textId="77777777" w:rsidR="004A0467" w:rsidRPr="004E3363" w:rsidRDefault="004A0467" w:rsidP="004A0467">
      <w:pPr>
        <w:ind w:firstLine="425"/>
        <w:jc w:val="both"/>
        <w:rPr>
          <w:rFonts w:eastAsia="Arial Unicode MS"/>
          <w:noProof/>
          <w:lang w:val="uk-UA"/>
        </w:rPr>
      </w:pPr>
      <w:r w:rsidRPr="004E3363">
        <w:rPr>
          <w:bdr w:val="nil"/>
          <w:lang w:val="uk-UA"/>
        </w:rPr>
        <w:t>У період лікування птиця повинна отримувати тільки воду, що містить препарат. Лікувальний розчин готують щоденно в об'ємі, розрахованому на споживання впродовж доби. При сальмонельозі, змішаних інфекціях, а також при хронічних формах захворювань птиці курс лікування подовжують до 5-7 діб.</w:t>
      </w:r>
    </w:p>
    <w:p w14:paraId="1BBE7678" w14:textId="77777777" w:rsidR="004A0467" w:rsidRPr="004E3363" w:rsidRDefault="004A0467" w:rsidP="004A0467">
      <w:pPr>
        <w:shd w:val="clear" w:color="auto" w:fill="FFFFFF"/>
        <w:tabs>
          <w:tab w:val="left" w:pos="922"/>
        </w:tabs>
        <w:ind w:firstLine="425"/>
        <w:jc w:val="both"/>
      </w:pPr>
      <w:r w:rsidRPr="004E3363">
        <w:rPr>
          <w:b/>
          <w:bCs/>
        </w:rPr>
        <w:t>5.9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Передозування (симптоми, невідкладні заходи, антидоти)</w:t>
      </w:r>
    </w:p>
    <w:p w14:paraId="1BBE7679" w14:textId="77777777" w:rsidR="004A0467" w:rsidRPr="004E3363" w:rsidRDefault="004A0467" w:rsidP="004A0467">
      <w:pPr>
        <w:shd w:val="clear" w:color="auto" w:fill="FFFFFF"/>
        <w:ind w:firstLine="425"/>
        <w:jc w:val="both"/>
      </w:pPr>
      <w:r w:rsidRPr="004E3363">
        <w:rPr>
          <w:lang w:val="uk-UA"/>
        </w:rPr>
        <w:t>Не</w:t>
      </w:r>
      <w:r w:rsidRPr="004E3363">
        <w:rPr>
          <w:lang w:val="en-US"/>
        </w:rPr>
        <w:t xml:space="preserve"> </w:t>
      </w:r>
      <w:r w:rsidRPr="004E3363">
        <w:rPr>
          <w:lang w:val="uk-UA"/>
        </w:rPr>
        <w:t>реєструвалось.</w:t>
      </w:r>
    </w:p>
    <w:p w14:paraId="1BBE767A" w14:textId="77777777" w:rsidR="004A0467" w:rsidRPr="004E3363" w:rsidRDefault="004A0467" w:rsidP="004A046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4E3363">
        <w:rPr>
          <w:b/>
          <w:bCs/>
          <w:lang w:val="uk-UA"/>
        </w:rPr>
        <w:t xml:space="preserve"> Спеціальні застереження</w:t>
      </w:r>
    </w:p>
    <w:p w14:paraId="1BBE767B" w14:textId="77777777" w:rsidR="004A0467" w:rsidRPr="004E3363" w:rsidRDefault="004A0467" w:rsidP="004A0467">
      <w:pPr>
        <w:shd w:val="clear" w:color="auto" w:fill="FFFFFF"/>
        <w:ind w:firstLine="425"/>
        <w:jc w:val="both"/>
        <w:rPr>
          <w:lang w:val="uk-UA"/>
        </w:rPr>
      </w:pPr>
      <w:r w:rsidRPr="004E3363">
        <w:rPr>
          <w:color w:val="000000"/>
          <w:lang w:val="uk-UA"/>
        </w:rPr>
        <w:t>При зберіганні препарату можлива поява легкої опалесценції, яка зникає при струшуванні, що не впливає на якість препарату</w:t>
      </w:r>
      <w:r w:rsidRPr="004E3363">
        <w:rPr>
          <w:lang w:val="uk-UA"/>
        </w:rPr>
        <w:t>.</w:t>
      </w:r>
    </w:p>
    <w:p w14:paraId="1BBE767C" w14:textId="77777777" w:rsidR="004A0467" w:rsidRPr="004E3363" w:rsidRDefault="004A0467" w:rsidP="004A046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4E3363">
        <w:rPr>
          <w:b/>
          <w:bCs/>
          <w:lang w:val="uk-UA"/>
        </w:rPr>
        <w:t xml:space="preserve"> Період виведення (</w:t>
      </w:r>
      <w:proofErr w:type="spellStart"/>
      <w:r w:rsidRPr="004E3363">
        <w:rPr>
          <w:b/>
          <w:bCs/>
          <w:lang w:val="uk-UA"/>
        </w:rPr>
        <w:t>каренція</w:t>
      </w:r>
      <w:proofErr w:type="spellEnd"/>
      <w:r w:rsidRPr="004E3363">
        <w:rPr>
          <w:b/>
          <w:bCs/>
          <w:lang w:val="uk-UA"/>
        </w:rPr>
        <w:t>)</w:t>
      </w:r>
    </w:p>
    <w:p w14:paraId="1BBE767D" w14:textId="77777777" w:rsidR="004A0467" w:rsidRPr="004E3363" w:rsidRDefault="004A0467" w:rsidP="004A0467">
      <w:pPr>
        <w:shd w:val="clear" w:color="auto" w:fill="FFFFFF"/>
        <w:ind w:firstLine="425"/>
        <w:jc w:val="both"/>
        <w:rPr>
          <w:lang w:val="uk-UA"/>
        </w:rPr>
      </w:pPr>
      <w:r w:rsidRPr="004E3363">
        <w:rPr>
          <w:bdr w:val="nil"/>
          <w:lang w:val="uk-UA"/>
        </w:rPr>
        <w:t>Забій птиці та тварин на м’ясо дозволяють через  7 діб (птиця) та 14 діб (телята) після останнього застосування препарату. Отримане до зазначеного терміну м'ясо утилізують або згодовують непродуктивним тваринам, залежно від висновку лікаря ветеринарної медицини.</w:t>
      </w:r>
    </w:p>
    <w:p w14:paraId="1BBE767E" w14:textId="77777777" w:rsidR="004A0467" w:rsidRPr="004E3363" w:rsidRDefault="004A0467" w:rsidP="004A0467">
      <w:pPr>
        <w:shd w:val="clear" w:color="auto" w:fill="FFFFFF"/>
        <w:tabs>
          <w:tab w:val="left" w:pos="1042"/>
        </w:tabs>
        <w:ind w:firstLine="425"/>
        <w:jc w:val="both"/>
      </w:pPr>
      <w:r w:rsidRPr="004E3363">
        <w:rPr>
          <w:b/>
          <w:bCs/>
        </w:rPr>
        <w:t>5.12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Спеціальні застереження для осіб і обслуговуючого персоналу</w:t>
      </w:r>
    </w:p>
    <w:p w14:paraId="1BBE767F" w14:textId="77777777" w:rsidR="004A0467" w:rsidRPr="004E3363" w:rsidRDefault="004A0467" w:rsidP="004A0467">
      <w:pPr>
        <w:shd w:val="clear" w:color="auto" w:fill="FFFFFF"/>
        <w:ind w:firstLine="425"/>
        <w:jc w:val="both"/>
      </w:pPr>
      <w:r w:rsidRPr="004E3363">
        <w:rPr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14:paraId="1BBE7680" w14:textId="77777777" w:rsidR="004A0467" w:rsidRPr="004E3363" w:rsidRDefault="004A0467" w:rsidP="004A0467">
      <w:pPr>
        <w:shd w:val="clear" w:color="auto" w:fill="FFFFFF"/>
        <w:tabs>
          <w:tab w:val="left" w:pos="821"/>
        </w:tabs>
        <w:ind w:firstLine="425"/>
        <w:jc w:val="both"/>
      </w:pPr>
      <w:r w:rsidRPr="004E3363">
        <w:rPr>
          <w:b/>
          <w:bCs/>
        </w:rPr>
        <w:t>6.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Фармацевтичні особливості</w:t>
      </w:r>
    </w:p>
    <w:p w14:paraId="1BBE7681" w14:textId="77777777" w:rsidR="004A0467" w:rsidRPr="004E3363" w:rsidRDefault="004A0467" w:rsidP="004A0467">
      <w:pPr>
        <w:shd w:val="clear" w:color="auto" w:fill="FFFFFF"/>
        <w:tabs>
          <w:tab w:val="left" w:pos="994"/>
        </w:tabs>
        <w:ind w:firstLine="425"/>
        <w:jc w:val="both"/>
      </w:pPr>
      <w:r w:rsidRPr="004E3363">
        <w:rPr>
          <w:b/>
          <w:bCs/>
        </w:rPr>
        <w:t>6.1</w:t>
      </w:r>
      <w:r w:rsidRPr="004E3363">
        <w:rPr>
          <w:b/>
          <w:bCs/>
        </w:rPr>
        <w:tab/>
      </w:r>
      <w:r w:rsidRPr="004E3363">
        <w:rPr>
          <w:b/>
          <w:bCs/>
          <w:lang w:val="uk-UA"/>
        </w:rPr>
        <w:t>Форми несумісності (основні)</w:t>
      </w:r>
    </w:p>
    <w:p w14:paraId="1BBE7682" w14:textId="77777777" w:rsidR="004A0467" w:rsidRPr="004E3363" w:rsidRDefault="004A0467" w:rsidP="004A0467">
      <w:pPr>
        <w:shd w:val="clear" w:color="auto" w:fill="FFFFFF"/>
        <w:tabs>
          <w:tab w:val="left" w:pos="955"/>
        </w:tabs>
        <w:ind w:firstLine="425"/>
        <w:jc w:val="both"/>
        <w:rPr>
          <w:lang w:val="uk-UA" w:eastAsia="en-US" w:bidi="en-US"/>
        </w:rPr>
      </w:pPr>
      <w:r w:rsidRPr="004E3363">
        <w:rPr>
          <w:bdr w:val="nil"/>
          <w:lang w:val="uk-UA"/>
        </w:rPr>
        <w:t xml:space="preserve">Не застосовувати одночасно з нестероїдними протизапальними засобами, антибіотиками групи </w:t>
      </w:r>
      <w:proofErr w:type="spellStart"/>
      <w:r w:rsidRPr="004E3363">
        <w:rPr>
          <w:bdr w:val="nil"/>
          <w:lang w:val="uk-UA"/>
        </w:rPr>
        <w:t>макролідів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тетрациклінами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хлорамфеніколом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аміноглікозидами</w:t>
      </w:r>
      <w:proofErr w:type="spellEnd"/>
      <w:r w:rsidRPr="004E3363">
        <w:rPr>
          <w:bdr w:val="nil"/>
          <w:lang w:val="uk-UA"/>
        </w:rPr>
        <w:t xml:space="preserve"> (</w:t>
      </w:r>
      <w:proofErr w:type="spellStart"/>
      <w:r w:rsidRPr="004E3363">
        <w:rPr>
          <w:bdr w:val="nil"/>
          <w:lang w:val="uk-UA"/>
        </w:rPr>
        <w:t>гентаміцином</w:t>
      </w:r>
      <w:proofErr w:type="spellEnd"/>
      <w:r w:rsidRPr="004E3363">
        <w:rPr>
          <w:bdr w:val="nil"/>
          <w:lang w:val="uk-UA"/>
        </w:rPr>
        <w:t xml:space="preserve">, </w:t>
      </w:r>
      <w:proofErr w:type="spellStart"/>
      <w:r w:rsidRPr="004E3363">
        <w:rPr>
          <w:bdr w:val="nil"/>
          <w:lang w:val="uk-UA"/>
        </w:rPr>
        <w:t>неоміцином</w:t>
      </w:r>
      <w:proofErr w:type="spellEnd"/>
      <w:r w:rsidRPr="004E3363">
        <w:rPr>
          <w:bdr w:val="nil"/>
          <w:lang w:val="uk-UA"/>
        </w:rPr>
        <w:t xml:space="preserve">), препаратами, що містять катіони </w:t>
      </w:r>
      <w:r w:rsidRPr="004E3363">
        <w:rPr>
          <w:bdr w:val="nil"/>
          <w:lang w:val="uk-UA" w:bidi="en-US"/>
        </w:rPr>
        <w:t>F</w:t>
      </w:r>
      <w:r w:rsidRPr="004E3363">
        <w:rPr>
          <w:bdr w:val="nil"/>
          <w:lang w:val="uk-UA"/>
        </w:rPr>
        <w:t>е</w:t>
      </w:r>
      <w:r w:rsidRPr="004E3363">
        <w:rPr>
          <w:bdr w:val="nil"/>
          <w:vertAlign w:val="superscript"/>
          <w:lang w:val="uk-UA"/>
        </w:rPr>
        <w:t>3+,</w:t>
      </w:r>
      <w:r w:rsidRPr="004E3363">
        <w:rPr>
          <w:bdr w:val="nil"/>
          <w:lang w:val="uk-UA"/>
        </w:rPr>
        <w:t xml:space="preserve"> Са</w:t>
      </w:r>
      <w:r w:rsidRPr="004E3363">
        <w:rPr>
          <w:bdr w:val="nil"/>
          <w:vertAlign w:val="superscript"/>
          <w:lang w:val="uk-UA"/>
        </w:rPr>
        <w:t>2+,</w:t>
      </w:r>
      <w:r w:rsidRPr="004E3363">
        <w:rPr>
          <w:bdr w:val="nil"/>
          <w:lang w:val="uk-UA"/>
        </w:rPr>
        <w:t xml:space="preserve"> </w:t>
      </w:r>
      <w:r w:rsidRPr="004E3363">
        <w:rPr>
          <w:bdr w:val="nil"/>
          <w:lang w:val="uk-UA" w:bidi="en-US"/>
        </w:rPr>
        <w:t>Al</w:t>
      </w:r>
      <w:r w:rsidRPr="004E3363">
        <w:rPr>
          <w:bdr w:val="nil"/>
          <w:vertAlign w:val="superscript"/>
          <w:lang w:val="uk-UA"/>
        </w:rPr>
        <w:t>3+</w:t>
      </w:r>
      <w:r w:rsidRPr="004E3363">
        <w:rPr>
          <w:bdr w:val="nil"/>
          <w:lang w:val="uk-UA"/>
        </w:rPr>
        <w:t xml:space="preserve"> і </w:t>
      </w:r>
      <w:r w:rsidRPr="004E3363">
        <w:rPr>
          <w:bdr w:val="nil"/>
          <w:lang w:val="uk-UA" w:bidi="en-US"/>
        </w:rPr>
        <w:t>Mg</w:t>
      </w:r>
      <w:r w:rsidRPr="004E3363">
        <w:rPr>
          <w:bdr w:val="nil"/>
          <w:vertAlign w:val="superscript"/>
          <w:lang w:val="uk-UA"/>
        </w:rPr>
        <w:t>2+</w:t>
      </w:r>
      <w:r w:rsidRPr="004E3363">
        <w:rPr>
          <w:bdr w:val="nil"/>
          <w:lang w:val="uk-UA"/>
        </w:rPr>
        <w:t xml:space="preserve">, препаратами, що легко відщеплюють сірку (глауберова сіль та ін.), ненасиченими жирними кислотами та поліфосфатами, а також з </w:t>
      </w:r>
      <w:proofErr w:type="spellStart"/>
      <w:r w:rsidRPr="004E3363">
        <w:rPr>
          <w:bdr w:val="nil"/>
          <w:lang w:val="uk-UA"/>
        </w:rPr>
        <w:t>міорелаксантами</w:t>
      </w:r>
      <w:proofErr w:type="spellEnd"/>
      <w:r w:rsidRPr="004E3363">
        <w:rPr>
          <w:bdr w:val="nil"/>
          <w:lang w:val="uk-UA"/>
        </w:rPr>
        <w:t xml:space="preserve"> та </w:t>
      </w:r>
      <w:proofErr w:type="spellStart"/>
      <w:r w:rsidRPr="004E3363">
        <w:rPr>
          <w:bdr w:val="nil"/>
          <w:lang w:val="uk-UA"/>
        </w:rPr>
        <w:t>анестетиками</w:t>
      </w:r>
      <w:proofErr w:type="spellEnd"/>
      <w:r w:rsidRPr="004E3363">
        <w:rPr>
          <w:bdr w:val="nil"/>
          <w:lang w:val="uk-UA"/>
        </w:rPr>
        <w:t xml:space="preserve"> (небезпека розвитку паралічу дихальних м'язів).</w:t>
      </w:r>
    </w:p>
    <w:p w14:paraId="1BBE7683" w14:textId="77777777" w:rsidR="004A0467" w:rsidRPr="004E3363" w:rsidRDefault="004A0467" w:rsidP="004A0467">
      <w:pPr>
        <w:ind w:firstLine="425"/>
        <w:jc w:val="both"/>
        <w:rPr>
          <w:b/>
        </w:rPr>
      </w:pPr>
      <w:r w:rsidRPr="004E3363">
        <w:rPr>
          <w:b/>
        </w:rPr>
        <w:t xml:space="preserve">6.2 </w:t>
      </w:r>
      <w:proofErr w:type="spellStart"/>
      <w:r w:rsidRPr="004E3363">
        <w:rPr>
          <w:b/>
        </w:rPr>
        <w:t>Термін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придатності</w:t>
      </w:r>
      <w:proofErr w:type="spellEnd"/>
    </w:p>
    <w:p w14:paraId="1BBE7684" w14:textId="77777777" w:rsidR="004A0467" w:rsidRPr="004E3363" w:rsidRDefault="004A0467" w:rsidP="004A0467">
      <w:pPr>
        <w:ind w:firstLine="425"/>
        <w:jc w:val="both"/>
      </w:pPr>
      <w:r w:rsidRPr="004E3363">
        <w:t xml:space="preserve">2 роки. </w:t>
      </w:r>
    </w:p>
    <w:p w14:paraId="1BBE7685" w14:textId="77777777" w:rsidR="004A0467" w:rsidRPr="004E3363" w:rsidRDefault="004A0467" w:rsidP="004A0467">
      <w:pPr>
        <w:ind w:firstLine="425"/>
        <w:jc w:val="both"/>
        <w:rPr>
          <w:lang w:val="uk-UA" w:eastAsia="en-US" w:bidi="en-US"/>
        </w:rPr>
      </w:pPr>
      <w:r w:rsidRPr="004E3363">
        <w:rPr>
          <w:lang w:val="uk-UA" w:eastAsia="en-US" w:bidi="en-US"/>
        </w:rPr>
        <w:t>Після першого відбору з флакону - 14 діб за умови зберігання його у темному місці за температури від 5 до 25 °С.</w:t>
      </w:r>
    </w:p>
    <w:p w14:paraId="1BBE7686" w14:textId="77777777" w:rsidR="004A0467" w:rsidRPr="004E3363" w:rsidRDefault="004A0467" w:rsidP="004A0467">
      <w:pPr>
        <w:ind w:firstLine="425"/>
        <w:jc w:val="both"/>
        <w:rPr>
          <w:lang w:val="uk-UA" w:eastAsia="en-US" w:bidi="en-US"/>
        </w:rPr>
      </w:pPr>
      <w:r w:rsidRPr="004E3363">
        <w:rPr>
          <w:lang w:val="uk-UA" w:eastAsia="en-US" w:bidi="en-US"/>
        </w:rPr>
        <w:t>Після розведення водою, препарат необхідно використати впродовж 24 год.</w:t>
      </w:r>
    </w:p>
    <w:p w14:paraId="1BBE7687" w14:textId="77777777" w:rsidR="004A0467" w:rsidRPr="004E3363" w:rsidRDefault="004A0467" w:rsidP="004A0467">
      <w:pPr>
        <w:ind w:firstLine="425"/>
        <w:jc w:val="both"/>
        <w:rPr>
          <w:b/>
        </w:rPr>
      </w:pPr>
      <w:r w:rsidRPr="004E3363">
        <w:rPr>
          <w:b/>
        </w:rPr>
        <w:t xml:space="preserve">6.3 </w:t>
      </w:r>
      <w:proofErr w:type="spellStart"/>
      <w:r w:rsidRPr="004E3363">
        <w:rPr>
          <w:b/>
        </w:rPr>
        <w:t>Особливі</w:t>
      </w:r>
      <w:proofErr w:type="spellEnd"/>
      <w:r w:rsidRPr="004E3363">
        <w:rPr>
          <w:b/>
        </w:rPr>
        <w:t xml:space="preserve"> заходи </w:t>
      </w:r>
      <w:proofErr w:type="spellStart"/>
      <w:r w:rsidRPr="004E3363">
        <w:rPr>
          <w:b/>
        </w:rPr>
        <w:t>зберігання</w:t>
      </w:r>
      <w:proofErr w:type="spellEnd"/>
    </w:p>
    <w:p w14:paraId="1BBE7688" w14:textId="77777777" w:rsidR="004A0467" w:rsidRPr="004E3363" w:rsidRDefault="004A0467" w:rsidP="004A0467">
      <w:pPr>
        <w:ind w:firstLine="425"/>
        <w:jc w:val="both"/>
        <w:rPr>
          <w:lang w:val="uk-UA" w:eastAsia="en-US" w:bidi="en-US"/>
        </w:rPr>
      </w:pPr>
      <w:r w:rsidRPr="004E3363">
        <w:rPr>
          <w:lang w:val="uk-UA" w:eastAsia="en-US" w:bidi="en-US"/>
        </w:rPr>
        <w:t>Темне, недоступне для дітей місце за температури від 5 до 25 °С.</w:t>
      </w:r>
    </w:p>
    <w:p w14:paraId="1BBE7689" w14:textId="77777777" w:rsidR="004A0467" w:rsidRPr="004E3363" w:rsidRDefault="004A0467" w:rsidP="004A0467">
      <w:pPr>
        <w:ind w:firstLine="425"/>
        <w:jc w:val="both"/>
      </w:pPr>
      <w:r w:rsidRPr="004E3363">
        <w:rPr>
          <w:b/>
        </w:rPr>
        <w:t xml:space="preserve">6.4 Природа і склад контейнера </w:t>
      </w:r>
      <w:proofErr w:type="spellStart"/>
      <w:r w:rsidRPr="004E3363">
        <w:rPr>
          <w:b/>
        </w:rPr>
        <w:t>первинного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упакування</w:t>
      </w:r>
      <w:proofErr w:type="spellEnd"/>
    </w:p>
    <w:p w14:paraId="1BBE768A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Флакони зі скла по 10, 50 та 100 мл в індивідуальній вторинній упаковці; </w:t>
      </w:r>
    </w:p>
    <w:p w14:paraId="1BBE768B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 xml:space="preserve">Флакони з полімерних матеріалів по 100, 500 та 1000 мл; </w:t>
      </w:r>
    </w:p>
    <w:p w14:paraId="1BBE768C" w14:textId="77777777" w:rsidR="004A0467" w:rsidRPr="004E3363" w:rsidRDefault="004A0467" w:rsidP="004A0467">
      <w:pPr>
        <w:ind w:firstLine="425"/>
        <w:jc w:val="both"/>
        <w:rPr>
          <w:bdr w:val="nil"/>
          <w:lang w:val="uk-UA"/>
        </w:rPr>
      </w:pPr>
      <w:r w:rsidRPr="004E3363">
        <w:rPr>
          <w:bdr w:val="nil"/>
          <w:lang w:val="uk-UA"/>
        </w:rPr>
        <w:t>10 флаконів зі скла по 10 мл у картонних коробках.</w:t>
      </w:r>
    </w:p>
    <w:p w14:paraId="1BBE768D" w14:textId="77777777" w:rsidR="0044064F" w:rsidRPr="004E3363" w:rsidRDefault="0044064F" w:rsidP="0044064F">
      <w:pPr>
        <w:ind w:firstLine="425"/>
        <w:jc w:val="center"/>
        <w:rPr>
          <w:bdr w:val="nil"/>
          <w:lang w:val="uk-UA"/>
        </w:rPr>
      </w:pPr>
    </w:p>
    <w:p w14:paraId="1BBE768E" w14:textId="77777777" w:rsidR="0044064F" w:rsidRPr="004E3363" w:rsidRDefault="0044064F" w:rsidP="0044064F">
      <w:pPr>
        <w:ind w:firstLine="425"/>
        <w:jc w:val="center"/>
        <w:rPr>
          <w:bdr w:val="nil"/>
          <w:lang w:val="uk-UA"/>
        </w:rPr>
      </w:pPr>
      <w:r w:rsidRPr="004E3363">
        <w:rPr>
          <w:bdr w:val="nil"/>
          <w:lang w:val="uk-UA"/>
        </w:rPr>
        <w:t>3</w:t>
      </w:r>
    </w:p>
    <w:p w14:paraId="1BBE768F" w14:textId="77777777" w:rsidR="004A0467" w:rsidRPr="004E3363" w:rsidRDefault="004A0467" w:rsidP="004A0467">
      <w:pPr>
        <w:ind w:firstLine="425"/>
        <w:jc w:val="both"/>
        <w:rPr>
          <w:b/>
        </w:rPr>
      </w:pPr>
      <w:r w:rsidRPr="004E3363">
        <w:rPr>
          <w:b/>
        </w:rPr>
        <w:lastRenderedPageBreak/>
        <w:t xml:space="preserve">6.5 </w:t>
      </w:r>
      <w:proofErr w:type="spellStart"/>
      <w:r w:rsidRPr="004E3363">
        <w:rPr>
          <w:b/>
        </w:rPr>
        <w:t>Особливі</w:t>
      </w:r>
      <w:proofErr w:type="spellEnd"/>
      <w:r w:rsidRPr="004E3363">
        <w:rPr>
          <w:b/>
        </w:rPr>
        <w:t xml:space="preserve"> заходи </w:t>
      </w:r>
      <w:proofErr w:type="spellStart"/>
      <w:r w:rsidRPr="004E3363">
        <w:rPr>
          <w:b/>
        </w:rPr>
        <w:t>безпеки</w:t>
      </w:r>
      <w:proofErr w:type="spellEnd"/>
      <w:r w:rsidRPr="004E3363">
        <w:rPr>
          <w:b/>
        </w:rPr>
        <w:t xml:space="preserve"> при </w:t>
      </w:r>
      <w:proofErr w:type="spellStart"/>
      <w:r w:rsidRPr="004E3363">
        <w:rPr>
          <w:b/>
        </w:rPr>
        <w:t>поводженні</w:t>
      </w:r>
      <w:proofErr w:type="spellEnd"/>
      <w:r w:rsidRPr="004E3363">
        <w:rPr>
          <w:b/>
        </w:rPr>
        <w:t xml:space="preserve"> з </w:t>
      </w:r>
      <w:proofErr w:type="spellStart"/>
      <w:r w:rsidRPr="004E3363">
        <w:rPr>
          <w:b/>
        </w:rPr>
        <w:t>невикористаним</w:t>
      </w:r>
      <w:proofErr w:type="spellEnd"/>
      <w:r w:rsidRPr="004E3363">
        <w:rPr>
          <w:b/>
        </w:rPr>
        <w:t xml:space="preserve"> препаратом </w:t>
      </w:r>
      <w:proofErr w:type="spellStart"/>
      <w:r w:rsidRPr="004E3363">
        <w:rPr>
          <w:b/>
        </w:rPr>
        <w:t>або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із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його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залишками</w:t>
      </w:r>
      <w:proofErr w:type="spellEnd"/>
    </w:p>
    <w:p w14:paraId="1BBE7690" w14:textId="77777777" w:rsidR="004A0467" w:rsidRPr="004E3363" w:rsidRDefault="004A0467" w:rsidP="004A0467">
      <w:pPr>
        <w:ind w:firstLine="425"/>
        <w:jc w:val="both"/>
        <w:rPr>
          <w:lang w:val="uk-UA"/>
        </w:rPr>
      </w:pPr>
      <w:r w:rsidRPr="004E3363">
        <w:rPr>
          <w:lang w:val="uk-UA"/>
        </w:rPr>
        <w:t>Ветеринарні препарати не повинні потрапляти у воду. Необхідно дотримуватись інструкцій місцевих влад по утилізації ветеринарних препаратів.</w:t>
      </w:r>
    </w:p>
    <w:p w14:paraId="1BBE7691" w14:textId="77777777" w:rsidR="004A0467" w:rsidRPr="004E3363" w:rsidRDefault="004A0467" w:rsidP="004A0467">
      <w:pPr>
        <w:keepNext/>
        <w:ind w:firstLine="425"/>
        <w:jc w:val="both"/>
      </w:pPr>
      <w:r w:rsidRPr="004E3363">
        <w:rPr>
          <w:b/>
        </w:rPr>
        <w:t xml:space="preserve">7. </w:t>
      </w:r>
      <w:proofErr w:type="spellStart"/>
      <w:r w:rsidRPr="004E3363">
        <w:rPr>
          <w:b/>
        </w:rPr>
        <w:t>Назва</w:t>
      </w:r>
      <w:proofErr w:type="spellEnd"/>
      <w:r w:rsidRPr="004E3363">
        <w:rPr>
          <w:b/>
        </w:rPr>
        <w:t xml:space="preserve"> та </w:t>
      </w:r>
      <w:r w:rsidRPr="004E3363">
        <w:rPr>
          <w:b/>
          <w:lang w:val="uk-UA"/>
        </w:rPr>
        <w:t>м</w:t>
      </w:r>
      <w:proofErr w:type="spellStart"/>
      <w:r w:rsidRPr="004E3363">
        <w:rPr>
          <w:b/>
        </w:rPr>
        <w:t>ісцезнаходження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власника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реєстраційного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посвідчення</w:t>
      </w:r>
      <w:proofErr w:type="spellEnd"/>
    </w:p>
    <w:p w14:paraId="1BBE7692" w14:textId="77777777" w:rsidR="004A0467" w:rsidRPr="004E3363" w:rsidRDefault="004A0467" w:rsidP="004A0467">
      <w:pPr>
        <w:ind w:firstLine="425"/>
        <w:jc w:val="both"/>
      </w:pPr>
      <w:r w:rsidRPr="004E3363">
        <w:t>ТОВ "БІОТЕСТЛАБ"</w:t>
      </w:r>
    </w:p>
    <w:p w14:paraId="1BBE7693" w14:textId="77777777" w:rsidR="004A0467" w:rsidRPr="004E3363" w:rsidRDefault="004A0467" w:rsidP="004A0467">
      <w:pPr>
        <w:ind w:firstLine="425"/>
        <w:jc w:val="both"/>
        <w:rPr>
          <w:lang w:val="uk-UA"/>
        </w:rPr>
      </w:pPr>
      <w:proofErr w:type="spellStart"/>
      <w:r w:rsidRPr="004E3363">
        <w:t>Україна</w:t>
      </w:r>
      <w:proofErr w:type="spellEnd"/>
      <w:r w:rsidRPr="004E3363">
        <w:rPr>
          <w:lang w:val="uk-UA"/>
        </w:rPr>
        <w:t>,</w:t>
      </w:r>
      <w:r w:rsidRPr="004E3363">
        <w:t xml:space="preserve"> 08601, </w:t>
      </w:r>
      <w:proofErr w:type="spellStart"/>
      <w:r w:rsidRPr="004E3363">
        <w:t>Київська</w:t>
      </w:r>
      <w:proofErr w:type="spellEnd"/>
      <w:r w:rsidRPr="004E3363">
        <w:t xml:space="preserve"> </w:t>
      </w:r>
      <w:proofErr w:type="spellStart"/>
      <w:r w:rsidRPr="004E3363">
        <w:t>обл</w:t>
      </w:r>
      <w:proofErr w:type="spellEnd"/>
      <w:r w:rsidR="0044064F" w:rsidRPr="004E3363">
        <w:rPr>
          <w:lang w:val="uk-UA"/>
        </w:rPr>
        <w:t>.</w:t>
      </w:r>
      <w:r w:rsidRPr="004E3363">
        <w:t xml:space="preserve">, м. </w:t>
      </w:r>
      <w:proofErr w:type="spellStart"/>
      <w:r w:rsidRPr="004E3363">
        <w:t>Васильків</w:t>
      </w:r>
      <w:proofErr w:type="spellEnd"/>
      <w:r w:rsidRPr="004E3363">
        <w:t>,</w:t>
      </w:r>
      <w:r w:rsidR="0044064F" w:rsidRPr="004E3363">
        <w:rPr>
          <w:lang w:val="uk-UA"/>
        </w:rPr>
        <w:t xml:space="preserve"> </w:t>
      </w:r>
      <w:proofErr w:type="spellStart"/>
      <w:r w:rsidRPr="004E3363">
        <w:t>вул</w:t>
      </w:r>
      <w:proofErr w:type="spellEnd"/>
      <w:r w:rsidRPr="004E3363">
        <w:t xml:space="preserve">. </w:t>
      </w:r>
      <w:proofErr w:type="spellStart"/>
      <w:r w:rsidRPr="004E3363">
        <w:t>Володимирська</w:t>
      </w:r>
      <w:proofErr w:type="spellEnd"/>
      <w:r w:rsidRPr="004E3363">
        <w:t>, 57</w:t>
      </w:r>
      <w:r w:rsidR="0044064F" w:rsidRPr="004E3363">
        <w:rPr>
          <w:lang w:val="uk-UA"/>
        </w:rPr>
        <w:t>-</w:t>
      </w:r>
      <w:r w:rsidRPr="004E3363">
        <w:t>А</w:t>
      </w:r>
      <w:r w:rsidRPr="004E3363">
        <w:rPr>
          <w:lang w:val="uk-UA"/>
        </w:rPr>
        <w:t>.</w:t>
      </w:r>
    </w:p>
    <w:p w14:paraId="1BBE7694" w14:textId="77777777" w:rsidR="004A0467" w:rsidRPr="004E3363" w:rsidRDefault="004A0467" w:rsidP="004A0467">
      <w:pPr>
        <w:ind w:firstLine="425"/>
        <w:jc w:val="both"/>
      </w:pPr>
      <w:r w:rsidRPr="004E3363">
        <w:rPr>
          <w:b/>
        </w:rPr>
        <w:t xml:space="preserve">8. </w:t>
      </w:r>
      <w:proofErr w:type="spellStart"/>
      <w:r w:rsidRPr="004E3363">
        <w:rPr>
          <w:b/>
        </w:rPr>
        <w:t>Назва</w:t>
      </w:r>
      <w:proofErr w:type="spellEnd"/>
      <w:r w:rsidRPr="004E3363">
        <w:rPr>
          <w:b/>
        </w:rPr>
        <w:t xml:space="preserve"> та </w:t>
      </w:r>
      <w:r w:rsidRPr="004E3363">
        <w:rPr>
          <w:b/>
          <w:lang w:val="uk-UA"/>
        </w:rPr>
        <w:t>м</w:t>
      </w:r>
      <w:proofErr w:type="spellStart"/>
      <w:r w:rsidRPr="004E3363">
        <w:rPr>
          <w:b/>
        </w:rPr>
        <w:t>ісцезнаходження</w:t>
      </w:r>
      <w:proofErr w:type="spellEnd"/>
      <w:r w:rsidRPr="004E3363">
        <w:rPr>
          <w:b/>
        </w:rPr>
        <w:t xml:space="preserve"> </w:t>
      </w:r>
      <w:proofErr w:type="spellStart"/>
      <w:r w:rsidRPr="004E3363">
        <w:rPr>
          <w:b/>
        </w:rPr>
        <w:t>виробника</w:t>
      </w:r>
      <w:proofErr w:type="spellEnd"/>
      <w:r w:rsidRPr="004E3363">
        <w:rPr>
          <w:b/>
        </w:rPr>
        <w:t xml:space="preserve"> (</w:t>
      </w:r>
      <w:proofErr w:type="spellStart"/>
      <w:r w:rsidRPr="004E3363">
        <w:rPr>
          <w:b/>
        </w:rPr>
        <w:t>виробників</w:t>
      </w:r>
      <w:proofErr w:type="spellEnd"/>
      <w:r w:rsidRPr="004E3363">
        <w:rPr>
          <w:b/>
        </w:rPr>
        <w:t>)</w:t>
      </w:r>
    </w:p>
    <w:p w14:paraId="1BBE7695" w14:textId="77777777" w:rsidR="004A0467" w:rsidRPr="004E3363" w:rsidRDefault="004A0467" w:rsidP="004A0467">
      <w:pPr>
        <w:ind w:firstLine="425"/>
        <w:jc w:val="both"/>
        <w:rPr>
          <w:lang w:val="uk-UA"/>
        </w:rPr>
      </w:pPr>
      <w:r w:rsidRPr="004E3363">
        <w:rPr>
          <w:lang w:val="uk-UA"/>
        </w:rPr>
        <w:t>ТОВ «</w:t>
      </w:r>
      <w:r w:rsidRPr="004E3363">
        <w:t>БІОТЕСТЛАБ</w:t>
      </w:r>
      <w:r w:rsidRPr="004E3363">
        <w:rPr>
          <w:lang w:val="uk-UA"/>
        </w:rPr>
        <w:t>»</w:t>
      </w:r>
    </w:p>
    <w:p w14:paraId="1BBE7696" w14:textId="77777777" w:rsidR="004A0467" w:rsidRPr="004E3363" w:rsidRDefault="004A0467" w:rsidP="004A0467">
      <w:pPr>
        <w:ind w:firstLine="425"/>
        <w:jc w:val="both"/>
      </w:pPr>
      <w:proofErr w:type="spellStart"/>
      <w:r w:rsidRPr="004E3363">
        <w:t>Україна</w:t>
      </w:r>
      <w:proofErr w:type="spellEnd"/>
      <w:r w:rsidRPr="004E3363">
        <w:rPr>
          <w:lang w:val="uk-UA"/>
        </w:rPr>
        <w:t>,</w:t>
      </w:r>
      <w:r w:rsidRPr="004E3363">
        <w:t xml:space="preserve"> 08601, </w:t>
      </w:r>
      <w:proofErr w:type="spellStart"/>
      <w:r w:rsidRPr="004E3363">
        <w:t>Київська</w:t>
      </w:r>
      <w:proofErr w:type="spellEnd"/>
      <w:r w:rsidRPr="004E3363">
        <w:t xml:space="preserve"> </w:t>
      </w:r>
      <w:proofErr w:type="spellStart"/>
      <w:r w:rsidRPr="004E3363">
        <w:t>обл</w:t>
      </w:r>
      <w:proofErr w:type="spellEnd"/>
      <w:r w:rsidR="0044064F" w:rsidRPr="004E3363">
        <w:rPr>
          <w:lang w:val="uk-UA"/>
        </w:rPr>
        <w:t>.</w:t>
      </w:r>
      <w:r w:rsidRPr="004E3363">
        <w:t xml:space="preserve">, м. </w:t>
      </w:r>
      <w:proofErr w:type="spellStart"/>
      <w:r w:rsidRPr="004E3363">
        <w:t>Васильків</w:t>
      </w:r>
      <w:proofErr w:type="spellEnd"/>
      <w:r w:rsidRPr="004E3363">
        <w:t>,</w:t>
      </w:r>
      <w:r w:rsidRPr="004E3363">
        <w:rPr>
          <w:lang w:val="uk-UA"/>
        </w:rPr>
        <w:t xml:space="preserve"> </w:t>
      </w:r>
      <w:proofErr w:type="spellStart"/>
      <w:r w:rsidRPr="004E3363">
        <w:t>вул</w:t>
      </w:r>
      <w:proofErr w:type="spellEnd"/>
      <w:r w:rsidRPr="004E3363">
        <w:t xml:space="preserve">. </w:t>
      </w:r>
      <w:proofErr w:type="spellStart"/>
      <w:r w:rsidRPr="004E3363">
        <w:t>Лістрового</w:t>
      </w:r>
      <w:proofErr w:type="spellEnd"/>
      <w:r w:rsidRPr="004E3363">
        <w:t xml:space="preserve"> Олександра, </w:t>
      </w:r>
      <w:r w:rsidR="0044064F" w:rsidRPr="004E3363">
        <w:rPr>
          <w:lang w:val="uk-UA"/>
        </w:rPr>
        <w:t xml:space="preserve">буд. </w:t>
      </w:r>
      <w:r w:rsidRPr="004E3363">
        <w:t xml:space="preserve">1/3 </w:t>
      </w:r>
      <w:r w:rsidRPr="004E3363">
        <w:rPr>
          <w:u w:val="single"/>
          <w:lang w:val="en-US"/>
        </w:rPr>
        <w:t>www</w:t>
      </w:r>
      <w:r w:rsidRPr="004E3363">
        <w:rPr>
          <w:u w:val="single"/>
        </w:rPr>
        <w:t>.</w:t>
      </w:r>
      <w:proofErr w:type="spellStart"/>
      <w:r w:rsidRPr="004E3363">
        <w:rPr>
          <w:u w:val="single"/>
          <w:lang w:val="en-US"/>
        </w:rPr>
        <w:t>biotestlab</w:t>
      </w:r>
      <w:proofErr w:type="spellEnd"/>
      <w:r w:rsidRPr="004E3363">
        <w:rPr>
          <w:u w:val="single"/>
        </w:rPr>
        <w:t>.</w:t>
      </w:r>
      <w:proofErr w:type="spellStart"/>
      <w:r w:rsidRPr="004E3363">
        <w:rPr>
          <w:u w:val="single"/>
          <w:lang w:val="en-US"/>
        </w:rPr>
        <w:t>ua</w:t>
      </w:r>
      <w:proofErr w:type="spellEnd"/>
      <w:r w:rsidRPr="004E3363">
        <w:rPr>
          <w:u w:val="single"/>
        </w:rPr>
        <w:t>.</w:t>
      </w:r>
    </w:p>
    <w:p w14:paraId="1BBE7697" w14:textId="77777777" w:rsidR="004A0467" w:rsidRPr="004E3363" w:rsidRDefault="004A0467" w:rsidP="004A0467">
      <w:pPr>
        <w:ind w:firstLine="425"/>
        <w:jc w:val="both"/>
        <w:rPr>
          <w:b/>
        </w:rPr>
      </w:pPr>
      <w:r w:rsidRPr="004E3363">
        <w:rPr>
          <w:b/>
        </w:rPr>
        <w:t xml:space="preserve">9. </w:t>
      </w:r>
      <w:proofErr w:type="spellStart"/>
      <w:r w:rsidRPr="004E3363">
        <w:rPr>
          <w:b/>
        </w:rPr>
        <w:t>Додаткова</w:t>
      </w:r>
      <w:proofErr w:type="spellEnd"/>
      <w:r w:rsidRPr="004E3363">
        <w:rPr>
          <w:b/>
        </w:rPr>
        <w:t xml:space="preserve"> інформація</w:t>
      </w:r>
    </w:p>
    <w:p w14:paraId="1BBE7698" w14:textId="77777777" w:rsidR="004A0467" w:rsidRPr="004E3363" w:rsidRDefault="004A0467" w:rsidP="004A0467">
      <w:pPr>
        <w:ind w:firstLine="425"/>
        <w:jc w:val="both"/>
        <w:rPr>
          <w:lang w:val="uk-UA"/>
        </w:rPr>
      </w:pPr>
      <w:proofErr w:type="spellStart"/>
      <w:r w:rsidRPr="004E3363">
        <w:t>Відсутня</w:t>
      </w:r>
      <w:proofErr w:type="spellEnd"/>
      <w:r w:rsidRPr="004E3363">
        <w:t>.</w:t>
      </w:r>
    </w:p>
    <w:p w14:paraId="1BBE7699" w14:textId="77777777" w:rsidR="00CA606C" w:rsidRPr="004E3363" w:rsidRDefault="00CA606C" w:rsidP="004A0467">
      <w:pPr>
        <w:ind w:firstLine="425"/>
        <w:rPr>
          <w:lang w:val="uk-UA"/>
        </w:rPr>
      </w:pPr>
    </w:p>
    <w:p w14:paraId="1BBE769A" w14:textId="77777777" w:rsidR="0044064F" w:rsidRPr="004E3363" w:rsidRDefault="0044064F" w:rsidP="004A0467">
      <w:pPr>
        <w:ind w:firstLine="425"/>
        <w:rPr>
          <w:lang w:val="uk-UA"/>
        </w:rPr>
      </w:pPr>
    </w:p>
    <w:p w14:paraId="1BBE769B" w14:textId="77777777" w:rsidR="0044064F" w:rsidRPr="004E3363" w:rsidRDefault="0044064F" w:rsidP="004A0467">
      <w:pPr>
        <w:ind w:firstLine="425"/>
        <w:rPr>
          <w:lang w:val="uk-UA"/>
        </w:rPr>
      </w:pPr>
    </w:p>
    <w:p w14:paraId="1BBE769C" w14:textId="77777777" w:rsidR="0044064F" w:rsidRPr="004E3363" w:rsidRDefault="0044064F" w:rsidP="004A0467">
      <w:pPr>
        <w:ind w:firstLine="425"/>
        <w:rPr>
          <w:lang w:val="uk-UA"/>
        </w:rPr>
      </w:pPr>
    </w:p>
    <w:p w14:paraId="1BBE769D" w14:textId="77777777" w:rsidR="0044064F" w:rsidRPr="004E3363" w:rsidRDefault="0044064F" w:rsidP="004A0467">
      <w:pPr>
        <w:ind w:firstLine="425"/>
        <w:rPr>
          <w:lang w:val="uk-UA"/>
        </w:rPr>
      </w:pPr>
    </w:p>
    <w:p w14:paraId="1BBE769E" w14:textId="77777777" w:rsidR="0044064F" w:rsidRPr="004E3363" w:rsidRDefault="0044064F" w:rsidP="004A0467">
      <w:pPr>
        <w:ind w:firstLine="425"/>
        <w:rPr>
          <w:lang w:val="uk-UA"/>
        </w:rPr>
      </w:pPr>
    </w:p>
    <w:p w14:paraId="1BBE769F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0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1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2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3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4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5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6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7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8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9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A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B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C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D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E" w14:textId="77777777" w:rsidR="0044064F" w:rsidRPr="004E3363" w:rsidRDefault="0044064F" w:rsidP="004A0467">
      <w:pPr>
        <w:ind w:firstLine="425"/>
        <w:rPr>
          <w:lang w:val="uk-UA"/>
        </w:rPr>
      </w:pPr>
    </w:p>
    <w:p w14:paraId="1BBE76AF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0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1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2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3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4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5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6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7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8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9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A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B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C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D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E" w14:textId="77777777" w:rsidR="0044064F" w:rsidRPr="004E3363" w:rsidRDefault="0044064F" w:rsidP="004A0467">
      <w:pPr>
        <w:ind w:firstLine="425"/>
        <w:rPr>
          <w:lang w:val="uk-UA"/>
        </w:rPr>
      </w:pPr>
    </w:p>
    <w:p w14:paraId="1BBE76BF" w14:textId="77777777" w:rsidR="0044064F" w:rsidRPr="004E3363" w:rsidRDefault="0044064F" w:rsidP="004A0467">
      <w:pPr>
        <w:ind w:firstLine="425"/>
        <w:rPr>
          <w:lang w:val="uk-UA"/>
        </w:rPr>
      </w:pPr>
    </w:p>
    <w:p w14:paraId="1BBE76C0" w14:textId="77777777" w:rsidR="0044064F" w:rsidRPr="0044064F" w:rsidRDefault="0044064F" w:rsidP="0044064F">
      <w:pPr>
        <w:ind w:firstLine="425"/>
        <w:jc w:val="center"/>
        <w:rPr>
          <w:lang w:val="uk-UA"/>
        </w:rPr>
      </w:pPr>
      <w:r w:rsidRPr="004E3363">
        <w:rPr>
          <w:lang w:val="uk-UA"/>
        </w:rPr>
        <w:t>4</w:t>
      </w:r>
    </w:p>
    <w:sectPr w:rsidR="0044064F" w:rsidRPr="0044064F" w:rsidSect="00CD3320">
      <w:headerReference w:type="default" r:id="rId7"/>
      <w:headerReference w:type="first" r:id="rId8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E76C3" w14:textId="77777777" w:rsidR="00CD3320" w:rsidRDefault="00CD3320" w:rsidP="00CD3320">
      <w:r>
        <w:separator/>
      </w:r>
    </w:p>
  </w:endnote>
  <w:endnote w:type="continuationSeparator" w:id="0">
    <w:p w14:paraId="1BBE76C4" w14:textId="77777777" w:rsidR="00CD3320" w:rsidRDefault="00CD3320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76C1" w14:textId="77777777" w:rsidR="00CD3320" w:rsidRDefault="00CD3320" w:rsidP="00CD3320">
      <w:r>
        <w:separator/>
      </w:r>
    </w:p>
  </w:footnote>
  <w:footnote w:type="continuationSeparator" w:id="0">
    <w:p w14:paraId="1BBE76C2" w14:textId="77777777" w:rsidR="00CD3320" w:rsidRDefault="00CD3320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76C5" w14:textId="77777777"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>
      <w:rPr>
        <w:bCs/>
        <w:color w:val="000000"/>
        <w:spacing w:val="3"/>
      </w:rPr>
      <w:t>Продовження</w:t>
    </w:r>
    <w:proofErr w:type="spellEnd"/>
    <w:r>
      <w:rPr>
        <w:bCs/>
        <w:color w:val="000000"/>
        <w:spacing w:val="3"/>
      </w:rPr>
      <w:t xml:space="preserve"> </w:t>
    </w:r>
    <w:proofErr w:type="spellStart"/>
    <w:r>
      <w:rPr>
        <w:bCs/>
        <w:color w:val="000000"/>
        <w:spacing w:val="3"/>
      </w:rPr>
      <w:t>Додат</w:t>
    </w:r>
    <w:r w:rsidRPr="00877901">
      <w:rPr>
        <w:bCs/>
        <w:color w:val="000000"/>
        <w:spacing w:val="3"/>
      </w:rPr>
      <w:t>к</w:t>
    </w:r>
    <w:r>
      <w:rPr>
        <w:bCs/>
        <w:color w:val="000000"/>
        <w:spacing w:val="3"/>
      </w:rPr>
      <w:t>у</w:t>
    </w:r>
    <w:proofErr w:type="spellEnd"/>
    <w:r w:rsidRPr="00877901">
      <w:rPr>
        <w:bCs/>
        <w:color w:val="000000"/>
        <w:spacing w:val="3"/>
      </w:rPr>
      <w:t xml:space="preserve"> 1 </w:t>
    </w:r>
  </w:p>
  <w:p w14:paraId="1BBE76C6" w14:textId="77777777"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>
      <w:rPr>
        <w:bCs/>
        <w:color w:val="000000"/>
        <w:spacing w:val="3"/>
      </w:rPr>
      <w:t xml:space="preserve"> </w:t>
    </w:r>
    <w:r w:rsidR="004A0467">
      <w:rPr>
        <w:lang w:val="uk-UA"/>
      </w:rPr>
      <w:t xml:space="preserve">№ </w:t>
    </w:r>
    <w:r w:rsidR="004A0467" w:rsidRPr="004A0467">
      <w:rPr>
        <w:szCs w:val="28"/>
        <w:lang w:val="uk-UA"/>
      </w:rPr>
      <w:t>АВ-04363-01-13</w:t>
    </w:r>
  </w:p>
  <w:p w14:paraId="1BBE76C7" w14:textId="77777777" w:rsidR="00CD3320" w:rsidRPr="00CD3320" w:rsidRDefault="00CD33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76C8" w14:textId="77777777" w:rsidR="00CD3320" w:rsidRPr="00877901" w:rsidRDefault="00CD3320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 w:rsidRPr="00877901">
      <w:rPr>
        <w:bCs/>
        <w:color w:val="000000"/>
        <w:spacing w:val="3"/>
      </w:rPr>
      <w:t>Додаток</w:t>
    </w:r>
    <w:proofErr w:type="spellEnd"/>
    <w:r w:rsidRPr="00877901">
      <w:rPr>
        <w:bCs/>
        <w:color w:val="000000"/>
        <w:spacing w:val="3"/>
      </w:rPr>
      <w:t xml:space="preserve"> 1 </w:t>
    </w:r>
  </w:p>
  <w:p w14:paraId="1BBE76C9" w14:textId="77777777" w:rsidR="005E0156" w:rsidRDefault="00CD3320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 w:rsidRPr="00877901">
      <w:rPr>
        <w:bCs/>
        <w:color w:val="000000"/>
        <w:spacing w:val="3"/>
      </w:rPr>
      <w:t xml:space="preserve"> </w:t>
    </w:r>
    <w:r w:rsidR="004A0467">
      <w:rPr>
        <w:lang w:val="uk-UA"/>
      </w:rPr>
      <w:t xml:space="preserve">№ </w:t>
    </w:r>
    <w:r w:rsidR="004A0467" w:rsidRPr="004A0467">
      <w:rPr>
        <w:szCs w:val="28"/>
        <w:lang w:val="uk-UA"/>
      </w:rPr>
      <w:t>АВ-04363-01-13</w:t>
    </w:r>
  </w:p>
  <w:p w14:paraId="1BBE76CA" w14:textId="77777777" w:rsidR="00ED6241" w:rsidRPr="005E0156" w:rsidRDefault="00ED6241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 w15:restartNumberingAfterBreak="0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 w16cid:durableId="1186284695">
    <w:abstractNumId w:val="6"/>
  </w:num>
  <w:num w:numId="2" w16cid:durableId="839202018">
    <w:abstractNumId w:val="2"/>
  </w:num>
  <w:num w:numId="3" w16cid:durableId="2027822333">
    <w:abstractNumId w:val="1"/>
  </w:num>
  <w:num w:numId="4" w16cid:durableId="970746714">
    <w:abstractNumId w:val="0"/>
  </w:num>
  <w:num w:numId="5" w16cid:durableId="2118525831">
    <w:abstractNumId w:val="4"/>
  </w:num>
  <w:num w:numId="6" w16cid:durableId="1324242714">
    <w:abstractNumId w:val="3"/>
  </w:num>
  <w:num w:numId="7" w16cid:durableId="1783264716">
    <w:abstractNumId w:val="7"/>
  </w:num>
  <w:num w:numId="8" w16cid:durableId="1506897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1B"/>
    <w:rsid w:val="0000343E"/>
    <w:rsid w:val="000333A8"/>
    <w:rsid w:val="00090590"/>
    <w:rsid w:val="000D2B6D"/>
    <w:rsid w:val="0012607A"/>
    <w:rsid w:val="00146A7D"/>
    <w:rsid w:val="00147495"/>
    <w:rsid w:val="002B16D4"/>
    <w:rsid w:val="00337F18"/>
    <w:rsid w:val="003A0039"/>
    <w:rsid w:val="003A1103"/>
    <w:rsid w:val="00420F1B"/>
    <w:rsid w:val="0044064F"/>
    <w:rsid w:val="004A0315"/>
    <w:rsid w:val="004A0467"/>
    <w:rsid w:val="004B5C41"/>
    <w:rsid w:val="004C4E9B"/>
    <w:rsid w:val="004E3363"/>
    <w:rsid w:val="005903D3"/>
    <w:rsid w:val="005E0156"/>
    <w:rsid w:val="00617F16"/>
    <w:rsid w:val="00621681"/>
    <w:rsid w:val="00743730"/>
    <w:rsid w:val="007E0B80"/>
    <w:rsid w:val="007F1E81"/>
    <w:rsid w:val="00816169"/>
    <w:rsid w:val="008348FC"/>
    <w:rsid w:val="00872A69"/>
    <w:rsid w:val="00877901"/>
    <w:rsid w:val="00885998"/>
    <w:rsid w:val="00907B99"/>
    <w:rsid w:val="009A5FFC"/>
    <w:rsid w:val="009F1076"/>
    <w:rsid w:val="00A41F97"/>
    <w:rsid w:val="00A73D66"/>
    <w:rsid w:val="00B02329"/>
    <w:rsid w:val="00B265AF"/>
    <w:rsid w:val="00B55FED"/>
    <w:rsid w:val="00B80CF7"/>
    <w:rsid w:val="00B86105"/>
    <w:rsid w:val="00BB6CBE"/>
    <w:rsid w:val="00C25399"/>
    <w:rsid w:val="00C50957"/>
    <w:rsid w:val="00C602C4"/>
    <w:rsid w:val="00CA606C"/>
    <w:rsid w:val="00CD3320"/>
    <w:rsid w:val="00D03ED3"/>
    <w:rsid w:val="00D8220B"/>
    <w:rsid w:val="00DC7DE5"/>
    <w:rsid w:val="00E22F1D"/>
    <w:rsid w:val="00ED6241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763D"/>
  <w15:docId w15:val="{2EBAFAD0-CA75-44C7-A59E-DDE145CD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locked/>
    <w:rsid w:val="00A73D66"/>
    <w:rPr>
      <w:rFonts w:ascii="Times New Roman" w:hAnsi="Times New Roman" w:cs="Times New Roman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D3320"/>
    <w:rPr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CD3320"/>
    <w:rPr>
      <w:lang w:val="en-GB"/>
    </w:rPr>
  </w:style>
  <w:style w:type="paragraph" w:customStyle="1" w:styleId="10">
    <w:name w:val="1 заголовок"/>
    <w:basedOn w:val="a"/>
    <w:link w:val="11"/>
    <w:autoRedefine/>
    <w:qFormat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rsid w:val="00907B99"/>
    <w:rPr>
      <w:rFonts w:ascii="Times New Roman" w:eastAsia="Arial Unicode MS" w:hAnsi="Times New Roman" w:cs="Times New Roman"/>
      <w:b/>
      <w:bCs/>
      <w:sz w:val="32"/>
      <w:szCs w:val="32"/>
      <w:lang w:val="uk-UA"/>
    </w:rPr>
  </w:style>
  <w:style w:type="paragraph" w:customStyle="1" w:styleId="cs7fb5c607">
    <w:name w:val="cs7fb5c607"/>
    <w:basedOn w:val="a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rsid w:val="005E01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7180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Микола Верхолюк</cp:lastModifiedBy>
  <cp:revision>21</cp:revision>
  <cp:lastPrinted>2024-09-05T12:16:00Z</cp:lastPrinted>
  <dcterms:created xsi:type="dcterms:W3CDTF">2024-05-31T13:18:00Z</dcterms:created>
  <dcterms:modified xsi:type="dcterms:W3CDTF">2025-02-12T17:33:00Z</dcterms:modified>
</cp:coreProperties>
</file>