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F2DA" w14:textId="77777777" w:rsidR="00A24AF9" w:rsidRPr="00FC2FB3" w:rsidRDefault="001762C8" w:rsidP="00A24AF9">
      <w:pPr>
        <w:jc w:val="center"/>
        <w:rPr>
          <w:b/>
        </w:rPr>
      </w:pPr>
      <w:r w:rsidRPr="00FC2FB3">
        <w:rPr>
          <w:b/>
        </w:rPr>
        <w:t>Коротка характеристика препарату</w:t>
      </w:r>
    </w:p>
    <w:p w14:paraId="45EA6598" w14:textId="77777777" w:rsidR="001762C8" w:rsidRPr="00FC2FB3" w:rsidRDefault="001762C8" w:rsidP="009075F5">
      <w:pPr>
        <w:jc w:val="center"/>
        <w:rPr>
          <w:b/>
          <w:lang w:val="uk-UA"/>
        </w:rPr>
      </w:pPr>
    </w:p>
    <w:p w14:paraId="4C484E3C" w14:textId="77777777" w:rsidR="001762C8" w:rsidRPr="00FC2FB3" w:rsidRDefault="00A24AF9" w:rsidP="00E732EF">
      <w:pPr>
        <w:tabs>
          <w:tab w:val="left" w:pos="0"/>
        </w:tabs>
        <w:ind w:firstLine="567"/>
        <w:rPr>
          <w:b/>
          <w:lang w:val="uk-UA"/>
        </w:rPr>
      </w:pPr>
      <w:r w:rsidRPr="00FC2FB3">
        <w:rPr>
          <w:b/>
          <w:lang w:val="uk-UA"/>
        </w:rPr>
        <w:t xml:space="preserve">1. </w:t>
      </w:r>
      <w:r w:rsidRPr="00FC2FB3">
        <w:rPr>
          <w:b/>
        </w:rPr>
        <w:t>Назва</w:t>
      </w:r>
    </w:p>
    <w:p w14:paraId="210D6E0C" w14:textId="381AE768" w:rsidR="00EB248E" w:rsidRPr="00FC2FB3" w:rsidRDefault="00EB248E" w:rsidP="00EB248E">
      <w:pPr>
        <w:ind w:firstLine="567"/>
        <w:rPr>
          <w:szCs w:val="22"/>
        </w:rPr>
      </w:pPr>
      <w:r w:rsidRPr="00FC2FB3">
        <w:t>Семінтра</w:t>
      </w:r>
      <w:r w:rsidR="00B00C8F" w:rsidRPr="00FC2FB3">
        <w:t xml:space="preserve"> 4 мг/мл</w:t>
      </w:r>
      <w:r w:rsidRPr="00FC2FB3">
        <w:t xml:space="preserve"> </w:t>
      </w:r>
      <w:r w:rsidR="00B43E3D" w:rsidRPr="00FC2FB3">
        <w:rPr>
          <w:rStyle w:val="FontStyle14"/>
          <w:b w:val="0"/>
          <w:sz w:val="24"/>
          <w:szCs w:val="24"/>
          <w:lang w:val="uk-UA" w:eastAsia="uk-UA"/>
        </w:rPr>
        <w:t xml:space="preserve">розчин </w:t>
      </w:r>
      <w:r w:rsidR="00B43E3D" w:rsidRPr="00FC2FB3">
        <w:t>для перорального застосування для котів</w:t>
      </w:r>
    </w:p>
    <w:p w14:paraId="2B5BF53B" w14:textId="77777777" w:rsidR="009075F5" w:rsidRPr="00FC2FB3" w:rsidRDefault="00A24AF9" w:rsidP="00E732EF">
      <w:pPr>
        <w:tabs>
          <w:tab w:val="left" w:pos="0"/>
        </w:tabs>
        <w:ind w:firstLine="567"/>
        <w:rPr>
          <w:b/>
          <w:snapToGrid w:val="0"/>
          <w:lang w:val="uk-UA"/>
        </w:rPr>
      </w:pPr>
      <w:r w:rsidRPr="00FC2FB3">
        <w:rPr>
          <w:b/>
          <w:snapToGrid w:val="0"/>
        </w:rPr>
        <w:t xml:space="preserve">2. </w:t>
      </w:r>
      <w:r w:rsidR="001762C8" w:rsidRPr="00FC2FB3">
        <w:rPr>
          <w:b/>
          <w:snapToGrid w:val="0"/>
          <w:lang w:val="uk-UA"/>
        </w:rPr>
        <w:t>С</w:t>
      </w:r>
      <w:r w:rsidRPr="00FC2FB3">
        <w:rPr>
          <w:b/>
          <w:snapToGrid w:val="0"/>
        </w:rPr>
        <w:t>клад</w:t>
      </w:r>
    </w:p>
    <w:p w14:paraId="01DB938E" w14:textId="55A9932B" w:rsidR="004F4DF4" w:rsidRPr="00FC2FB3" w:rsidRDefault="006C2B66" w:rsidP="00A620C1">
      <w:pPr>
        <w:tabs>
          <w:tab w:val="left" w:pos="0"/>
        </w:tabs>
        <w:ind w:firstLine="567"/>
        <w:rPr>
          <w:b/>
          <w:snapToGrid w:val="0"/>
          <w:lang w:val="uk-UA"/>
        </w:rPr>
      </w:pPr>
      <w:r w:rsidRPr="00FC2FB3">
        <w:rPr>
          <w:rStyle w:val="FontStyle14"/>
          <w:b w:val="0"/>
          <w:sz w:val="24"/>
          <w:szCs w:val="24"/>
          <w:lang w:val="uk-UA" w:eastAsia="uk-UA"/>
        </w:rPr>
        <w:t>1</w:t>
      </w:r>
      <w:r w:rsidR="00B04043" w:rsidRPr="00FC2FB3">
        <w:rPr>
          <w:rStyle w:val="FontStyle14"/>
          <w:b w:val="0"/>
          <w:sz w:val="24"/>
          <w:szCs w:val="24"/>
          <w:lang w:val="uk-UA" w:eastAsia="uk-UA"/>
        </w:rPr>
        <w:t xml:space="preserve"> </w:t>
      </w:r>
      <w:r w:rsidRPr="00FC2FB3">
        <w:rPr>
          <w:rStyle w:val="FontStyle14"/>
          <w:b w:val="0"/>
          <w:sz w:val="24"/>
          <w:szCs w:val="24"/>
          <w:lang w:val="uk-UA" w:eastAsia="uk-UA"/>
        </w:rPr>
        <w:t>мл препарату міст</w:t>
      </w:r>
      <w:r w:rsidR="00711A18" w:rsidRPr="00FC2FB3">
        <w:rPr>
          <w:rStyle w:val="FontStyle14"/>
          <w:b w:val="0"/>
          <w:sz w:val="24"/>
          <w:szCs w:val="24"/>
          <w:lang w:val="uk-UA" w:eastAsia="uk-UA"/>
        </w:rPr>
        <w:t>и</w:t>
      </w:r>
      <w:r w:rsidRPr="00FC2FB3">
        <w:rPr>
          <w:rStyle w:val="FontStyle14"/>
          <w:b w:val="0"/>
          <w:sz w:val="24"/>
          <w:szCs w:val="24"/>
          <w:lang w:val="uk-UA" w:eastAsia="uk-UA"/>
        </w:rPr>
        <w:t>ть</w:t>
      </w:r>
      <w:r w:rsidR="00A620C1" w:rsidRPr="00FC2FB3">
        <w:rPr>
          <w:rStyle w:val="FontStyle14"/>
          <w:b w:val="0"/>
          <w:sz w:val="24"/>
          <w:szCs w:val="24"/>
          <w:lang w:eastAsia="uk-UA"/>
        </w:rPr>
        <w:t xml:space="preserve"> </w:t>
      </w:r>
      <w:r w:rsidR="004F4DF4" w:rsidRPr="00FC2FB3">
        <w:rPr>
          <w:lang w:val="uk-UA"/>
        </w:rPr>
        <w:t>діюч</w:t>
      </w:r>
      <w:r w:rsidR="00EB248E" w:rsidRPr="00FC2FB3">
        <w:rPr>
          <w:lang w:val="uk-UA"/>
        </w:rPr>
        <w:t>у</w:t>
      </w:r>
      <w:r w:rsidR="004F4DF4" w:rsidRPr="00FC2FB3">
        <w:rPr>
          <w:lang w:val="uk-UA"/>
        </w:rPr>
        <w:t xml:space="preserve"> речовин</w:t>
      </w:r>
      <w:r w:rsidR="00EB248E" w:rsidRPr="00FC2FB3">
        <w:rPr>
          <w:lang w:val="uk-UA"/>
        </w:rPr>
        <w:t>у</w:t>
      </w:r>
      <w:r w:rsidR="004F4DF4" w:rsidRPr="00FC2FB3">
        <w:rPr>
          <w:lang w:val="uk-UA"/>
        </w:rPr>
        <w:t>:</w:t>
      </w:r>
    </w:p>
    <w:p w14:paraId="5FB86E20" w14:textId="7CA2AA42" w:rsidR="004F4DF4" w:rsidRPr="00FC2FB3" w:rsidRDefault="00EB248E" w:rsidP="00E732EF">
      <w:pPr>
        <w:tabs>
          <w:tab w:val="left" w:pos="0"/>
        </w:tabs>
        <w:ind w:firstLine="567"/>
        <w:contextualSpacing/>
        <w:jc w:val="both"/>
        <w:rPr>
          <w:lang w:val="uk-UA"/>
        </w:rPr>
      </w:pPr>
      <w:bookmarkStart w:id="0" w:name="_Hlk159423584"/>
      <w:r w:rsidRPr="00FC2FB3">
        <w:rPr>
          <w:lang w:val="uk-UA"/>
        </w:rPr>
        <w:t>телмісартан</w:t>
      </w:r>
      <w:bookmarkEnd w:id="0"/>
      <w:r w:rsidR="002B4990" w:rsidRPr="00FC2FB3">
        <w:rPr>
          <w:i/>
          <w:iCs/>
          <w:lang w:val="uk-UA"/>
        </w:rPr>
        <w:t xml:space="preserve"> – </w:t>
      </w:r>
      <w:r w:rsidRPr="00FC2FB3">
        <w:rPr>
          <w:lang w:val="uk-UA"/>
        </w:rPr>
        <w:t>4</w:t>
      </w:r>
      <w:r w:rsidR="006E6E47" w:rsidRPr="00FC2FB3">
        <w:rPr>
          <w:lang w:val="uk-UA"/>
        </w:rPr>
        <w:t xml:space="preserve"> </w:t>
      </w:r>
      <w:r w:rsidRPr="00FC2FB3">
        <w:rPr>
          <w:lang w:val="uk-UA"/>
        </w:rPr>
        <w:t>м</w:t>
      </w:r>
      <w:r w:rsidR="004F4DF4" w:rsidRPr="00FC2FB3">
        <w:rPr>
          <w:lang w:val="uk-UA"/>
        </w:rPr>
        <w:t>г</w:t>
      </w:r>
      <w:r w:rsidRPr="00FC2FB3">
        <w:rPr>
          <w:lang w:val="uk-UA"/>
        </w:rPr>
        <w:t>.</w:t>
      </w:r>
    </w:p>
    <w:p w14:paraId="72380AD5" w14:textId="238F049A" w:rsidR="004B6F29" w:rsidRPr="00FC2FB3" w:rsidRDefault="00A620C1" w:rsidP="00A620C1">
      <w:pPr>
        <w:pStyle w:val="HTML"/>
        <w:tabs>
          <w:tab w:val="left" w:pos="0"/>
          <w:tab w:val="left" w:pos="426"/>
        </w:tabs>
        <w:ind w:firstLine="567"/>
        <w:jc w:val="both"/>
        <w:rPr>
          <w:rFonts w:ascii="Times New Roman" w:hAnsi="Times New Roman" w:cs="Times New Roman"/>
          <w:sz w:val="24"/>
          <w:szCs w:val="24"/>
          <w:lang w:val="uk-UA"/>
        </w:rPr>
      </w:pPr>
      <w:r w:rsidRPr="00FC2FB3">
        <w:rPr>
          <w:rFonts w:ascii="Times New Roman" w:hAnsi="Times New Roman" w:cs="Times New Roman"/>
          <w:sz w:val="24"/>
          <w:szCs w:val="24"/>
          <w:lang w:val="uk-UA"/>
        </w:rPr>
        <w:t>Д</w:t>
      </w:r>
      <w:r w:rsidR="00F54C51" w:rsidRPr="00FC2FB3">
        <w:rPr>
          <w:rFonts w:ascii="Times New Roman" w:hAnsi="Times New Roman" w:cs="Times New Roman"/>
          <w:sz w:val="24"/>
          <w:szCs w:val="24"/>
          <w:lang w:val="uk-UA"/>
        </w:rPr>
        <w:t>опоміжні речовини:</w:t>
      </w:r>
      <w:r w:rsidRPr="00FC2FB3">
        <w:rPr>
          <w:rFonts w:ascii="Times New Roman" w:hAnsi="Times New Roman" w:cs="Times New Roman"/>
          <w:sz w:val="24"/>
          <w:szCs w:val="24"/>
          <w:lang w:val="uk-UA"/>
        </w:rPr>
        <w:t xml:space="preserve"> </w:t>
      </w:r>
      <w:r w:rsidR="00C025B4" w:rsidRPr="00FC2FB3">
        <w:rPr>
          <w:rFonts w:ascii="Times New Roman" w:hAnsi="Times New Roman" w:cs="Times New Roman"/>
          <w:sz w:val="24"/>
          <w:szCs w:val="24"/>
          <w:lang w:val="uk-UA"/>
        </w:rPr>
        <w:t>б</w:t>
      </w:r>
      <w:r w:rsidR="00EB248E" w:rsidRPr="00FC2FB3">
        <w:rPr>
          <w:rFonts w:ascii="Times New Roman" w:hAnsi="Times New Roman" w:cs="Times New Roman"/>
          <w:sz w:val="24"/>
          <w:szCs w:val="24"/>
          <w:lang w:val="uk-UA"/>
        </w:rPr>
        <w:t>ензалконію хлорид</w:t>
      </w:r>
      <w:r w:rsidRPr="00FC2FB3">
        <w:rPr>
          <w:rFonts w:ascii="Times New Roman" w:hAnsi="Times New Roman" w:cs="Times New Roman"/>
          <w:sz w:val="24"/>
          <w:szCs w:val="24"/>
          <w:lang w:val="uk-UA"/>
        </w:rPr>
        <w:t xml:space="preserve">, </w:t>
      </w:r>
      <w:r w:rsidR="00C025B4" w:rsidRPr="00FC2FB3">
        <w:rPr>
          <w:rFonts w:ascii="Times New Roman" w:hAnsi="Times New Roman" w:cs="Times New Roman"/>
          <w:sz w:val="24"/>
          <w:szCs w:val="24"/>
          <w:lang w:val="uk-UA"/>
        </w:rPr>
        <w:t>г</w:t>
      </w:r>
      <w:r w:rsidR="00EB248E" w:rsidRPr="00FC2FB3">
        <w:rPr>
          <w:rFonts w:ascii="Times New Roman" w:hAnsi="Times New Roman" w:cs="Times New Roman"/>
          <w:sz w:val="24"/>
          <w:szCs w:val="24"/>
          <w:lang w:val="uk-UA"/>
        </w:rPr>
        <w:t>ідроксіетилцелюлоза</w:t>
      </w:r>
      <w:r w:rsidRPr="00FC2FB3">
        <w:rPr>
          <w:rFonts w:ascii="Times New Roman" w:hAnsi="Times New Roman" w:cs="Times New Roman"/>
          <w:sz w:val="24"/>
          <w:szCs w:val="24"/>
          <w:lang w:val="uk-UA"/>
        </w:rPr>
        <w:t xml:space="preserve">, </w:t>
      </w:r>
      <w:r w:rsidR="00C025B4" w:rsidRPr="00FC2FB3">
        <w:rPr>
          <w:rFonts w:ascii="Times New Roman" w:hAnsi="Times New Roman" w:cs="Times New Roman"/>
          <w:sz w:val="24"/>
          <w:szCs w:val="24"/>
          <w:lang w:val="uk-UA"/>
        </w:rPr>
        <w:t>н</w:t>
      </w:r>
      <w:r w:rsidR="00EB248E" w:rsidRPr="00FC2FB3">
        <w:rPr>
          <w:rFonts w:ascii="Times New Roman" w:hAnsi="Times New Roman" w:cs="Times New Roman"/>
          <w:sz w:val="24"/>
          <w:szCs w:val="24"/>
          <w:lang w:val="uk-UA"/>
        </w:rPr>
        <w:t>атрію гідроксид</w:t>
      </w:r>
      <w:r w:rsidR="007C5984" w:rsidRPr="00FC2FB3">
        <w:rPr>
          <w:rFonts w:ascii="Times New Roman" w:hAnsi="Times New Roman" w:cs="Times New Roman"/>
          <w:sz w:val="24"/>
          <w:szCs w:val="24"/>
          <w:lang w:val="uk-UA"/>
        </w:rPr>
        <w:t xml:space="preserve">, </w:t>
      </w:r>
      <w:r w:rsidR="00C025B4" w:rsidRPr="00FC2FB3">
        <w:rPr>
          <w:rFonts w:ascii="Times New Roman" w:hAnsi="Times New Roman" w:cs="Times New Roman"/>
          <w:sz w:val="24"/>
          <w:szCs w:val="24"/>
          <w:lang w:val="uk-UA"/>
        </w:rPr>
        <w:t>х</w:t>
      </w:r>
      <w:r w:rsidR="00EB248E" w:rsidRPr="00FC2FB3">
        <w:rPr>
          <w:rFonts w:ascii="Times New Roman" w:hAnsi="Times New Roman" w:cs="Times New Roman"/>
          <w:sz w:val="24"/>
          <w:szCs w:val="24"/>
          <w:lang w:val="uk-UA"/>
        </w:rPr>
        <w:t>лороводнева кислота</w:t>
      </w:r>
      <w:r w:rsidR="00FD2290" w:rsidRPr="00FC2FB3">
        <w:rPr>
          <w:rFonts w:ascii="Times New Roman" w:hAnsi="Times New Roman" w:cs="Times New Roman"/>
          <w:sz w:val="24"/>
          <w:szCs w:val="24"/>
          <w:lang w:val="uk-UA"/>
        </w:rPr>
        <w:t xml:space="preserve">, </w:t>
      </w:r>
      <w:r w:rsidR="00C025B4" w:rsidRPr="00FC2FB3">
        <w:rPr>
          <w:rFonts w:ascii="Times New Roman" w:hAnsi="Times New Roman" w:cs="Times New Roman"/>
          <w:sz w:val="24"/>
          <w:szCs w:val="24"/>
          <w:lang w:val="uk-UA"/>
        </w:rPr>
        <w:t>м</w:t>
      </w:r>
      <w:r w:rsidR="00EB248E" w:rsidRPr="00FC2FB3">
        <w:rPr>
          <w:rFonts w:ascii="Times New Roman" w:hAnsi="Times New Roman" w:cs="Times New Roman"/>
          <w:sz w:val="24"/>
          <w:szCs w:val="24"/>
          <w:lang w:val="uk-UA"/>
        </w:rPr>
        <w:t>альтит</w:t>
      </w:r>
      <w:r w:rsidR="00FD2290" w:rsidRPr="00FC2FB3">
        <w:rPr>
          <w:rFonts w:ascii="Times New Roman" w:hAnsi="Times New Roman" w:cs="Times New Roman"/>
          <w:sz w:val="24"/>
          <w:szCs w:val="24"/>
          <w:lang w:val="uk-UA"/>
        </w:rPr>
        <w:t>,</w:t>
      </w:r>
      <w:r w:rsidR="0071347B" w:rsidRPr="00FC2FB3">
        <w:rPr>
          <w:rFonts w:ascii="Times New Roman" w:hAnsi="Times New Roman" w:cs="Times New Roman"/>
          <w:sz w:val="24"/>
          <w:szCs w:val="24"/>
          <w:lang w:val="uk-UA"/>
        </w:rPr>
        <w:t xml:space="preserve"> </w:t>
      </w:r>
      <w:r w:rsidR="00C025B4" w:rsidRPr="00FC2FB3">
        <w:rPr>
          <w:rFonts w:ascii="Times New Roman" w:hAnsi="Times New Roman" w:cs="Times New Roman"/>
          <w:sz w:val="24"/>
          <w:szCs w:val="24"/>
          <w:lang w:val="uk-UA"/>
        </w:rPr>
        <w:t>в</w:t>
      </w:r>
      <w:r w:rsidR="00EB248E" w:rsidRPr="00FC2FB3">
        <w:rPr>
          <w:rFonts w:ascii="Times New Roman" w:hAnsi="Times New Roman" w:cs="Times New Roman"/>
          <w:sz w:val="24"/>
          <w:szCs w:val="24"/>
          <w:lang w:val="uk-UA"/>
        </w:rPr>
        <w:t>ода очищена</w:t>
      </w:r>
      <w:r w:rsidR="00326ED3" w:rsidRPr="00FC2FB3">
        <w:rPr>
          <w:rFonts w:ascii="Times New Roman" w:hAnsi="Times New Roman" w:cs="Times New Roman"/>
          <w:sz w:val="24"/>
          <w:szCs w:val="24"/>
          <w:lang w:val="uk-UA"/>
        </w:rPr>
        <w:t>.</w:t>
      </w:r>
    </w:p>
    <w:p w14:paraId="6B048EDA" w14:textId="349FA32E" w:rsidR="00D2393A" w:rsidRPr="005A20A1" w:rsidRDefault="00A24AF9" w:rsidP="00E732EF">
      <w:pPr>
        <w:tabs>
          <w:tab w:val="left" w:pos="0"/>
        </w:tabs>
        <w:spacing w:before="40"/>
        <w:ind w:firstLine="567"/>
        <w:rPr>
          <w:b/>
          <w:snapToGrid w:val="0"/>
          <w:lang w:val="uk-UA"/>
        </w:rPr>
      </w:pPr>
      <w:r w:rsidRPr="00FC2FB3">
        <w:rPr>
          <w:b/>
          <w:snapToGrid w:val="0"/>
          <w:lang w:val="uk-UA"/>
        </w:rPr>
        <w:t xml:space="preserve">3. </w:t>
      </w:r>
      <w:r w:rsidRPr="005A20A1">
        <w:rPr>
          <w:b/>
          <w:snapToGrid w:val="0"/>
          <w:lang w:val="uk-UA"/>
        </w:rPr>
        <w:t>Фармацевтична форма</w:t>
      </w:r>
    </w:p>
    <w:p w14:paraId="28E93C9B" w14:textId="2445EB24" w:rsidR="006C2B66" w:rsidRPr="00FC2FB3" w:rsidRDefault="006C2B66" w:rsidP="00E732EF">
      <w:pPr>
        <w:pStyle w:val="Style10"/>
        <w:widowControl/>
        <w:tabs>
          <w:tab w:val="left" w:pos="0"/>
        </w:tabs>
        <w:spacing w:before="5" w:line="240" w:lineRule="auto"/>
        <w:ind w:firstLine="567"/>
        <w:rPr>
          <w:rStyle w:val="FontStyle14"/>
          <w:b w:val="0"/>
          <w:sz w:val="24"/>
          <w:szCs w:val="24"/>
          <w:lang w:val="uk-UA" w:eastAsia="uk-UA"/>
        </w:rPr>
      </w:pPr>
      <w:r w:rsidRPr="00FC2FB3">
        <w:rPr>
          <w:rStyle w:val="FontStyle14"/>
          <w:b w:val="0"/>
          <w:sz w:val="24"/>
          <w:szCs w:val="24"/>
          <w:lang w:val="uk-UA" w:eastAsia="uk-UA"/>
        </w:rPr>
        <w:t xml:space="preserve">Розчин </w:t>
      </w:r>
      <w:r w:rsidR="00EB248E" w:rsidRPr="00FC2FB3">
        <w:rPr>
          <w:rFonts w:ascii="Times New Roman" w:hAnsi="Times New Roman" w:cs="Times New Roman"/>
        </w:rPr>
        <w:t>для перорального застосування</w:t>
      </w:r>
      <w:r w:rsidRPr="00FC2FB3">
        <w:rPr>
          <w:rStyle w:val="FontStyle14"/>
          <w:b w:val="0"/>
          <w:sz w:val="24"/>
          <w:szCs w:val="24"/>
          <w:lang w:val="uk-UA" w:eastAsia="uk-UA"/>
        </w:rPr>
        <w:t>.</w:t>
      </w:r>
    </w:p>
    <w:p w14:paraId="16C6C015" w14:textId="77777777" w:rsidR="00A24AF9" w:rsidRPr="00FC2FB3" w:rsidRDefault="00A24AF9" w:rsidP="00C025B4">
      <w:pPr>
        <w:tabs>
          <w:tab w:val="left" w:pos="0"/>
        </w:tabs>
        <w:ind w:firstLine="567"/>
        <w:jc w:val="both"/>
        <w:rPr>
          <w:b/>
          <w:snapToGrid w:val="0"/>
          <w:lang w:val="uk-UA"/>
        </w:rPr>
      </w:pPr>
      <w:r w:rsidRPr="00FC2FB3">
        <w:rPr>
          <w:b/>
          <w:snapToGrid w:val="0"/>
          <w:lang w:val="uk-UA"/>
        </w:rPr>
        <w:t>4. Фармакологічн</w:t>
      </w:r>
      <w:r w:rsidR="00130E51" w:rsidRPr="00FC2FB3">
        <w:rPr>
          <w:b/>
          <w:snapToGrid w:val="0"/>
          <w:lang w:val="uk-UA"/>
        </w:rPr>
        <w:t>і</w:t>
      </w:r>
      <w:r w:rsidRPr="00FC2FB3">
        <w:rPr>
          <w:b/>
          <w:snapToGrid w:val="0"/>
          <w:lang w:val="uk-UA"/>
        </w:rPr>
        <w:t xml:space="preserve"> </w:t>
      </w:r>
      <w:r w:rsidR="00130E51" w:rsidRPr="00FC2FB3">
        <w:rPr>
          <w:b/>
          <w:snapToGrid w:val="0"/>
          <w:lang w:val="uk-UA"/>
        </w:rPr>
        <w:t>властивості</w:t>
      </w:r>
    </w:p>
    <w:p w14:paraId="6430B385" w14:textId="77777777" w:rsidR="009707EC" w:rsidRPr="00FC2FB3" w:rsidRDefault="009707EC" w:rsidP="009707EC">
      <w:pPr>
        <w:ind w:firstLine="567"/>
        <w:jc w:val="both"/>
        <w:rPr>
          <w:b/>
          <w:i/>
          <w:lang w:val="uk-UA"/>
        </w:rPr>
      </w:pPr>
      <w:r w:rsidRPr="00FC2FB3">
        <w:rPr>
          <w:b/>
          <w:i/>
        </w:rPr>
        <w:t>ATC</w:t>
      </w:r>
      <w:r w:rsidRPr="00FC2FB3">
        <w:rPr>
          <w:b/>
          <w:i/>
          <w:lang w:val="uk-UA"/>
        </w:rPr>
        <w:t xml:space="preserve"> </w:t>
      </w:r>
      <w:r w:rsidRPr="00FC2FB3">
        <w:rPr>
          <w:b/>
          <w:i/>
        </w:rPr>
        <w:t>vet</w:t>
      </w:r>
      <w:r w:rsidRPr="00FC2FB3">
        <w:rPr>
          <w:b/>
          <w:i/>
          <w:lang w:val="uk-UA"/>
        </w:rPr>
        <w:t xml:space="preserve"> </w:t>
      </w:r>
      <w:r w:rsidRPr="00FC2FB3">
        <w:rPr>
          <w:b/>
          <w:bCs/>
          <w:i/>
          <w:iCs/>
        </w:rPr>
        <w:t>QC</w:t>
      </w:r>
      <w:r w:rsidRPr="00FC2FB3">
        <w:rPr>
          <w:b/>
          <w:bCs/>
          <w:i/>
          <w:iCs/>
          <w:lang w:val="uk-UA"/>
        </w:rPr>
        <w:t>09</w:t>
      </w:r>
      <w:r w:rsidRPr="00FC2FB3">
        <w:rPr>
          <w:b/>
          <w:bCs/>
          <w:i/>
          <w:iCs/>
        </w:rPr>
        <w:t>CA</w:t>
      </w:r>
      <w:r w:rsidRPr="00FC2FB3">
        <w:rPr>
          <w:b/>
          <w:i/>
          <w:lang w:val="uk-UA"/>
        </w:rPr>
        <w:t xml:space="preserve"> -</w:t>
      </w:r>
      <w:r w:rsidRPr="00FC2FB3">
        <w:rPr>
          <w:b/>
          <w:i/>
          <w:iCs/>
          <w:lang w:val="uk-UA"/>
        </w:rPr>
        <w:t xml:space="preserve"> </w:t>
      </w:r>
      <w:r w:rsidRPr="00FC2FB3">
        <w:rPr>
          <w:b/>
          <w:i/>
          <w:lang w:val="uk-UA"/>
        </w:rPr>
        <w:t xml:space="preserve">ветеринарні </w:t>
      </w:r>
      <w:r w:rsidRPr="00FC2FB3">
        <w:rPr>
          <w:b/>
          <w:i/>
          <w:iCs/>
          <w:lang w:val="uk-UA"/>
        </w:rPr>
        <w:t>препарати антагоністів ангіотензину ІІ</w:t>
      </w:r>
      <w:r w:rsidRPr="00FC2FB3">
        <w:rPr>
          <w:b/>
          <w:i/>
          <w:lang w:val="uk-UA"/>
        </w:rPr>
        <w:t>. QC09CA07 – Телмісартан.</w:t>
      </w:r>
      <w:bookmarkStart w:id="1" w:name="_GoBack"/>
      <w:bookmarkEnd w:id="1"/>
    </w:p>
    <w:p w14:paraId="3B63D261" w14:textId="77777777" w:rsidR="009707EC" w:rsidRPr="00FC2FB3" w:rsidRDefault="009707EC" w:rsidP="009707EC">
      <w:pPr>
        <w:ind w:firstLine="567"/>
        <w:jc w:val="both"/>
        <w:rPr>
          <w:szCs w:val="22"/>
          <w:lang w:val="uk-UA"/>
        </w:rPr>
      </w:pPr>
      <w:r w:rsidRPr="00FC2FB3">
        <w:rPr>
          <w:lang w:val="uk-UA"/>
        </w:rPr>
        <w:t xml:space="preserve">Телмісартан – це активний та специфічний антагоніст рецептора ангіотензину </w:t>
      </w:r>
      <w:r w:rsidRPr="00FC2FB3">
        <w:t>II</w:t>
      </w:r>
      <w:r w:rsidRPr="00FC2FB3">
        <w:rPr>
          <w:lang w:val="uk-UA"/>
        </w:rPr>
        <w:t xml:space="preserve"> (підтип </w:t>
      </w:r>
      <w:r w:rsidRPr="00FC2FB3">
        <w:t>AT</w:t>
      </w:r>
      <w:r w:rsidRPr="00FC2FB3">
        <w:rPr>
          <w:szCs w:val="22"/>
          <w:vertAlign w:val="subscript"/>
          <w:lang w:val="uk-UA"/>
        </w:rPr>
        <w:t>1</w:t>
      </w:r>
      <w:r w:rsidRPr="00FC2FB3">
        <w:rPr>
          <w:lang w:val="uk-UA"/>
        </w:rPr>
        <w:t xml:space="preserve">), який спричиняє дозозалежне зниження середнього артеріального тиску у ссавців, зокрема у котів. У клінічному дослідженні на котах з хронічною хворобою нирок (ХХН) зниження протеїнурії було помітно в перші 7 діб від початку лікування телмісартаном в дозі 1 мг/кг маси тіла тварини. В іншому клінічному дослідженні на котах з артеріальною гіпертензією зниження середнього артеріального систолічного тиску було досягнуто при дозі телмісартану 2 мг/кг маси тіла тварини. Завдяки поєднанню цих фармакодинамічних властивостей телмісартан є відповідним засобом лікування котів з супутньою артеріальною гіпертензією та ХХН.  </w:t>
      </w:r>
    </w:p>
    <w:p w14:paraId="7F8A9DA3" w14:textId="77777777" w:rsidR="009707EC" w:rsidRPr="00FC2FB3" w:rsidRDefault="009707EC" w:rsidP="009707EC">
      <w:pPr>
        <w:tabs>
          <w:tab w:val="center" w:pos="10224"/>
          <w:tab w:val="left" w:pos="10800"/>
          <w:tab w:val="left" w:pos="11088"/>
        </w:tabs>
        <w:ind w:firstLine="567"/>
        <w:jc w:val="both"/>
        <w:rPr>
          <w:szCs w:val="22"/>
          <w:lang w:val="uk-UA"/>
        </w:rPr>
      </w:pPr>
      <w:r w:rsidRPr="00FC2FB3">
        <w:rPr>
          <w:lang w:val="uk-UA"/>
        </w:rPr>
        <w:t xml:space="preserve">Телмісартан витісняє ангіотензин </w:t>
      </w:r>
      <w:r w:rsidRPr="00FC2FB3">
        <w:t>II</w:t>
      </w:r>
      <w:r w:rsidRPr="00FC2FB3">
        <w:rPr>
          <w:lang w:val="uk-UA"/>
        </w:rPr>
        <w:t xml:space="preserve"> із його зв'язку з </w:t>
      </w:r>
      <w:r w:rsidRPr="00FC2FB3">
        <w:t>AT</w:t>
      </w:r>
      <w:r w:rsidRPr="00FC2FB3">
        <w:rPr>
          <w:szCs w:val="22"/>
          <w:vertAlign w:val="subscript"/>
          <w:lang w:val="uk-UA"/>
        </w:rPr>
        <w:t>1</w:t>
      </w:r>
      <w:r w:rsidRPr="00FC2FB3">
        <w:rPr>
          <w:lang w:val="uk-UA"/>
        </w:rPr>
        <w:t xml:space="preserve"> підтипом рецептора. Телмісартан вибірково зв’язується з </w:t>
      </w:r>
      <w:r w:rsidRPr="00FC2FB3">
        <w:t>AT</w:t>
      </w:r>
      <w:r w:rsidRPr="00FC2FB3">
        <w:rPr>
          <w:szCs w:val="22"/>
          <w:vertAlign w:val="subscript"/>
          <w:lang w:val="uk-UA"/>
        </w:rPr>
        <w:t>1</w:t>
      </w:r>
      <w:r w:rsidRPr="00FC2FB3">
        <w:rPr>
          <w:lang w:val="uk-UA"/>
        </w:rPr>
        <w:t xml:space="preserve"> рецептором </w:t>
      </w:r>
      <w:r w:rsidRPr="00FC2FB3">
        <w:rPr>
          <w:rStyle w:val="af1"/>
          <w:rFonts w:ascii="Times New Roman" w:hAnsi="Times New Roman"/>
          <w:bCs/>
          <w:i w:val="0"/>
          <w:iCs w:val="0"/>
          <w:shd w:val="clear" w:color="auto" w:fill="FFFFFF"/>
          <w:lang w:val="uk-UA"/>
        </w:rPr>
        <w:t xml:space="preserve">ангіотензину </w:t>
      </w:r>
      <w:r w:rsidRPr="00FC2FB3">
        <w:rPr>
          <w:rStyle w:val="af1"/>
          <w:rFonts w:ascii="Times New Roman" w:hAnsi="Times New Roman"/>
          <w:bCs/>
          <w:i w:val="0"/>
          <w:iCs w:val="0"/>
          <w:shd w:val="clear" w:color="auto" w:fill="FFFFFF"/>
        </w:rPr>
        <w:t>II</w:t>
      </w:r>
      <w:r w:rsidRPr="00FC2FB3">
        <w:rPr>
          <w:lang w:val="uk-UA"/>
        </w:rPr>
        <w:t xml:space="preserve"> і, при цьому, не з’єднується з іншими рецепторами, включно з </w:t>
      </w:r>
      <w:r w:rsidRPr="00FC2FB3">
        <w:t>AT</w:t>
      </w:r>
      <w:r w:rsidRPr="00FC2FB3">
        <w:rPr>
          <w:szCs w:val="22"/>
          <w:vertAlign w:val="subscript"/>
          <w:lang w:val="uk-UA"/>
        </w:rPr>
        <w:t>2</w:t>
      </w:r>
      <w:r w:rsidRPr="00FC2FB3">
        <w:rPr>
          <w:lang w:val="uk-UA"/>
        </w:rPr>
        <w:t xml:space="preserve"> або іншими менш вивченими </w:t>
      </w:r>
      <w:r w:rsidRPr="00FC2FB3">
        <w:t>AT</w:t>
      </w:r>
      <w:r w:rsidRPr="00FC2FB3">
        <w:rPr>
          <w:lang w:val="uk-UA"/>
        </w:rPr>
        <w:t xml:space="preserve"> рецепторами. Стимуляція </w:t>
      </w:r>
      <w:r w:rsidRPr="00FC2FB3">
        <w:t>AT</w:t>
      </w:r>
      <w:r w:rsidRPr="00FC2FB3">
        <w:rPr>
          <w:szCs w:val="22"/>
          <w:vertAlign w:val="subscript"/>
          <w:lang w:val="uk-UA"/>
        </w:rPr>
        <w:t>1</w:t>
      </w:r>
      <w:r w:rsidRPr="00FC2FB3">
        <w:rPr>
          <w:lang w:val="uk-UA"/>
        </w:rPr>
        <w:t xml:space="preserve"> рецептора відповідальна за патологічні ефекти ангіотензину </w:t>
      </w:r>
      <w:r w:rsidRPr="00FC2FB3">
        <w:t>II</w:t>
      </w:r>
      <w:r w:rsidRPr="00FC2FB3">
        <w:rPr>
          <w:lang w:val="uk-UA"/>
        </w:rPr>
        <w:t xml:space="preserve"> у нирках та інших органах, пов’язаних з ангіотензином </w:t>
      </w:r>
      <w:r w:rsidRPr="00FC2FB3">
        <w:t>II</w:t>
      </w:r>
      <w:r w:rsidRPr="00FC2FB3">
        <w:rPr>
          <w:lang w:val="uk-UA"/>
        </w:rPr>
        <w:t>, таких як вазодилатація, затримка натрію і води, підвищений синтез альдостерону і ремоделювання органів. При цьому ефекти, пов’язані зі стимуляцією АТ</w:t>
      </w:r>
      <w:r w:rsidRPr="00FC2FB3">
        <w:rPr>
          <w:szCs w:val="22"/>
          <w:vertAlign w:val="subscript"/>
          <w:lang w:val="uk-UA"/>
        </w:rPr>
        <w:t>2</w:t>
      </w:r>
      <w:r w:rsidRPr="00FC2FB3">
        <w:rPr>
          <w:lang w:val="uk-UA"/>
        </w:rPr>
        <w:t xml:space="preserve"> рецептора, такі як вазодилатація, натрійурез та інгібування невідповідного клітинного росту, не пригнічуються. Зв’язування рецептора зберігається тривалий час через повільну дисоціацію телмісартану за його зв’язку з </w:t>
      </w:r>
      <w:r w:rsidRPr="00FC2FB3">
        <w:t>AT</w:t>
      </w:r>
      <w:r w:rsidRPr="00FC2FB3">
        <w:rPr>
          <w:szCs w:val="22"/>
          <w:vertAlign w:val="subscript"/>
          <w:lang w:val="uk-UA"/>
        </w:rPr>
        <w:t>1</w:t>
      </w:r>
      <w:r w:rsidRPr="00FC2FB3">
        <w:rPr>
          <w:lang w:val="uk-UA"/>
        </w:rPr>
        <w:t xml:space="preserve"> рецептором. Телмісартан не проявляє жодної агоністичної активності щодо АТ</w:t>
      </w:r>
      <w:r w:rsidRPr="00FC2FB3">
        <w:rPr>
          <w:szCs w:val="22"/>
          <w:vertAlign w:val="subscript"/>
          <w:lang w:val="uk-UA"/>
        </w:rPr>
        <w:t>1</w:t>
      </w:r>
      <w:r w:rsidRPr="00FC2FB3">
        <w:rPr>
          <w:lang w:val="uk-UA"/>
        </w:rPr>
        <w:t xml:space="preserve"> рецептора </w:t>
      </w:r>
      <w:r w:rsidRPr="00FC2FB3">
        <w:rPr>
          <w:rStyle w:val="af1"/>
          <w:rFonts w:ascii="Times New Roman" w:hAnsi="Times New Roman"/>
          <w:bCs/>
          <w:i w:val="0"/>
          <w:iCs w:val="0"/>
          <w:shd w:val="clear" w:color="auto" w:fill="FFFFFF"/>
          <w:lang w:val="uk-UA"/>
        </w:rPr>
        <w:t xml:space="preserve">ангіотензину </w:t>
      </w:r>
      <w:r w:rsidRPr="00FC2FB3">
        <w:rPr>
          <w:rStyle w:val="af1"/>
          <w:rFonts w:ascii="Times New Roman" w:hAnsi="Times New Roman"/>
          <w:bCs/>
          <w:i w:val="0"/>
          <w:iCs w:val="0"/>
          <w:shd w:val="clear" w:color="auto" w:fill="FFFFFF"/>
        </w:rPr>
        <w:t>II</w:t>
      </w:r>
      <w:r w:rsidRPr="00FC2FB3">
        <w:rPr>
          <w:lang w:val="uk-UA"/>
        </w:rPr>
        <w:t>.</w:t>
      </w:r>
    </w:p>
    <w:p w14:paraId="03CE8495" w14:textId="77777777" w:rsidR="009707EC" w:rsidRPr="00FC2FB3" w:rsidRDefault="009707EC" w:rsidP="009707EC">
      <w:pPr>
        <w:tabs>
          <w:tab w:val="center" w:pos="10224"/>
          <w:tab w:val="left" w:pos="10800"/>
          <w:tab w:val="left" w:pos="11088"/>
        </w:tabs>
        <w:ind w:firstLine="426"/>
        <w:jc w:val="both"/>
        <w:rPr>
          <w:lang w:val="uk-UA"/>
        </w:rPr>
      </w:pPr>
      <w:r w:rsidRPr="00FC2FB3">
        <w:rPr>
          <w:lang w:val="uk-UA"/>
        </w:rPr>
        <w:tab/>
        <w:t xml:space="preserve">Гіпокаліємія пов’язана з ХХН, однак телмісартан не впливає на виділення калію, як показано в клінічному випробуванні на котах. </w:t>
      </w:r>
    </w:p>
    <w:p w14:paraId="24C1001A" w14:textId="77777777" w:rsidR="009707EC" w:rsidRPr="00FC2FB3" w:rsidRDefault="009707EC" w:rsidP="009707EC">
      <w:pPr>
        <w:autoSpaceDE w:val="0"/>
        <w:autoSpaceDN w:val="0"/>
        <w:ind w:firstLine="567"/>
        <w:jc w:val="both"/>
        <w:rPr>
          <w:szCs w:val="22"/>
        </w:rPr>
      </w:pPr>
      <w:r w:rsidRPr="00FC2FB3">
        <w:rPr>
          <w:lang w:val="uk-UA"/>
        </w:rPr>
        <w:t>Після перорального введення телмісартану котам криві залежності «концентрація-час» вихідної сполуки характеризуються швидким всмоктуванням; максимальна концентрація (</w:t>
      </w:r>
      <w:r w:rsidRPr="00FC2FB3">
        <w:t>C</w:t>
      </w:r>
      <w:r w:rsidRPr="00FC2FB3">
        <w:rPr>
          <w:szCs w:val="22"/>
          <w:vertAlign w:val="subscript"/>
        </w:rPr>
        <w:t>max</w:t>
      </w:r>
      <w:r w:rsidRPr="00FC2FB3">
        <w:rPr>
          <w:lang w:val="uk-UA"/>
        </w:rPr>
        <w:t>) досягається через 0,5 години (</w:t>
      </w:r>
      <w:r w:rsidRPr="00FC2FB3">
        <w:t>t</w:t>
      </w:r>
      <w:r w:rsidRPr="00FC2FB3">
        <w:rPr>
          <w:szCs w:val="22"/>
          <w:vertAlign w:val="subscript"/>
        </w:rPr>
        <w:t>max</w:t>
      </w:r>
      <w:r w:rsidRPr="00FC2FB3">
        <w:rPr>
          <w:lang w:val="uk-UA"/>
        </w:rPr>
        <w:t xml:space="preserve">). Як для значень </w:t>
      </w:r>
      <w:r w:rsidRPr="00FC2FB3">
        <w:t>C</w:t>
      </w:r>
      <w:r w:rsidRPr="00FC2FB3">
        <w:rPr>
          <w:szCs w:val="22"/>
          <w:vertAlign w:val="subscript"/>
        </w:rPr>
        <w:t>max</w:t>
      </w:r>
      <w:r w:rsidRPr="00FC2FB3">
        <w:rPr>
          <w:lang w:val="uk-UA"/>
        </w:rPr>
        <w:t xml:space="preserve">, так і для </w:t>
      </w:r>
      <w:r w:rsidRPr="00FC2FB3">
        <w:t>AUC</w:t>
      </w:r>
      <w:r w:rsidRPr="00FC2FB3">
        <w:rPr>
          <w:lang w:val="uk-UA"/>
        </w:rPr>
        <w:t xml:space="preserve"> спостерігалося дозопропорційне збільшення у діапазоні доз від 0,5 мг/кг до 3 мг/кг маси тіла тварини. </w:t>
      </w:r>
      <w:r w:rsidRPr="00FC2FB3">
        <w:t xml:space="preserve">За даними AUC, прийом їжі не впливає на загальний рівень всмоктування телмісартану. </w:t>
      </w:r>
    </w:p>
    <w:p w14:paraId="1B2DB339" w14:textId="77777777" w:rsidR="009707EC" w:rsidRPr="00FC2FB3" w:rsidRDefault="009707EC" w:rsidP="009707EC">
      <w:pPr>
        <w:autoSpaceDE w:val="0"/>
        <w:autoSpaceDN w:val="0"/>
        <w:ind w:firstLine="567"/>
        <w:jc w:val="both"/>
        <w:rPr>
          <w:rFonts w:eastAsia="Calibri"/>
          <w:szCs w:val="22"/>
        </w:rPr>
      </w:pPr>
      <w:r w:rsidRPr="00FC2FB3">
        <w:t xml:space="preserve">Телмісартан має високу ліпофільність і швидку кінетику мембранної проникності, що сприяє його легкому розподілу в тканинах. Особливостей дії препарату на тварин різної статі не виявлено. </w:t>
      </w:r>
    </w:p>
    <w:p w14:paraId="43415A03" w14:textId="77777777" w:rsidR="009707EC" w:rsidRPr="00FC2FB3" w:rsidRDefault="009707EC" w:rsidP="009707EC">
      <w:pPr>
        <w:autoSpaceDE w:val="0"/>
        <w:autoSpaceDN w:val="0"/>
        <w:ind w:firstLine="567"/>
        <w:jc w:val="both"/>
      </w:pPr>
      <w:r w:rsidRPr="00FC2FB3">
        <w:t xml:space="preserve">Клінічно значущого накопичення </w:t>
      </w:r>
      <w:r w:rsidRPr="00FC2FB3">
        <w:rPr>
          <w:lang w:val="uk-UA"/>
        </w:rPr>
        <w:t xml:space="preserve">телмісартану </w:t>
      </w:r>
      <w:r w:rsidRPr="00FC2FB3">
        <w:t xml:space="preserve">після багаторазового </w:t>
      </w:r>
      <w:r w:rsidRPr="00FC2FB3">
        <w:rPr>
          <w:lang w:val="uk-UA"/>
        </w:rPr>
        <w:t>перорального застосування</w:t>
      </w:r>
      <w:r w:rsidRPr="00FC2FB3">
        <w:t xml:space="preserve"> один раз на добу протягом 21 </w:t>
      </w:r>
      <w:r w:rsidRPr="00FC2FB3">
        <w:rPr>
          <w:lang w:val="uk-UA"/>
        </w:rPr>
        <w:t>доби</w:t>
      </w:r>
      <w:r w:rsidRPr="00FC2FB3">
        <w:t xml:space="preserve"> не спостерігалося. Абсолютна біодоступність після перорального застосування становила 33%.</w:t>
      </w:r>
    </w:p>
    <w:p w14:paraId="3D2709CB" w14:textId="77777777" w:rsidR="009707EC" w:rsidRPr="00FC2FB3" w:rsidRDefault="009707EC" w:rsidP="009707EC">
      <w:pPr>
        <w:ind w:firstLine="567"/>
        <w:jc w:val="both"/>
        <w:rPr>
          <w:szCs w:val="22"/>
        </w:rPr>
      </w:pPr>
      <w:r w:rsidRPr="00FC2FB3">
        <w:rPr>
          <w:szCs w:val="22"/>
          <w:u w:val="single"/>
        </w:rPr>
        <w:t>Розподіл</w:t>
      </w:r>
    </w:p>
    <w:p w14:paraId="1DAF8F62" w14:textId="77777777" w:rsidR="009707EC" w:rsidRPr="00FC2FB3" w:rsidRDefault="009707EC" w:rsidP="009707EC">
      <w:pPr>
        <w:suppressAutoHyphens/>
        <w:ind w:firstLine="567"/>
        <w:jc w:val="both"/>
        <w:rPr>
          <w:szCs w:val="22"/>
        </w:rPr>
      </w:pPr>
      <w:r w:rsidRPr="00FC2FB3">
        <w:t xml:space="preserve">Дослідження </w:t>
      </w:r>
      <w:r w:rsidRPr="00FC2FB3">
        <w:rPr>
          <w:i/>
          <w:iCs/>
        </w:rPr>
        <w:t>in vitro</w:t>
      </w:r>
      <w:r w:rsidRPr="00FC2FB3">
        <w:t xml:space="preserve"> у плазмі крові людини, собаки, миші та щура показали високий ступінь зв’язування з білками плазми (&gt;99,5%), переважно з альбуміном та α-1-кислим глікопротеїном. </w:t>
      </w:r>
    </w:p>
    <w:p w14:paraId="731C65E2" w14:textId="77777777" w:rsidR="009707EC" w:rsidRPr="00FC2FB3" w:rsidRDefault="009707EC" w:rsidP="009707EC">
      <w:pPr>
        <w:ind w:firstLine="567"/>
        <w:jc w:val="both"/>
        <w:rPr>
          <w:szCs w:val="22"/>
          <w:u w:val="single"/>
        </w:rPr>
      </w:pPr>
      <w:r w:rsidRPr="00FC2FB3">
        <w:rPr>
          <w:szCs w:val="22"/>
          <w:u w:val="single"/>
        </w:rPr>
        <w:t>Метаболізм</w:t>
      </w:r>
    </w:p>
    <w:p w14:paraId="237D93A7" w14:textId="77777777" w:rsidR="009707EC" w:rsidRPr="00FC2FB3" w:rsidRDefault="009707EC" w:rsidP="009707EC">
      <w:pPr>
        <w:autoSpaceDE w:val="0"/>
        <w:autoSpaceDN w:val="0"/>
        <w:ind w:firstLine="567"/>
        <w:jc w:val="both"/>
        <w:rPr>
          <w:rFonts w:eastAsia="Calibri"/>
          <w:szCs w:val="22"/>
        </w:rPr>
      </w:pPr>
      <w:r w:rsidRPr="00FC2FB3">
        <w:t xml:space="preserve">Телмісартан метаболізується шляхом кон’югації </w:t>
      </w:r>
      <w:r w:rsidRPr="00FC2FB3">
        <w:rPr>
          <w:lang w:val="uk-UA"/>
        </w:rPr>
        <w:t>у</w:t>
      </w:r>
      <w:r w:rsidRPr="00FC2FB3">
        <w:t xml:space="preserve"> глюкуронід вихідної речовини. Фармакологічна активність кон’югату не була продемонстрована. За результатами досліджень </w:t>
      </w:r>
      <w:r w:rsidRPr="00FC2FB3">
        <w:rPr>
          <w:i/>
          <w:szCs w:val="22"/>
        </w:rPr>
        <w:t xml:space="preserve">in </w:t>
      </w:r>
      <w:r w:rsidRPr="00FC2FB3">
        <w:rPr>
          <w:i/>
          <w:szCs w:val="22"/>
        </w:rPr>
        <w:lastRenderedPageBreak/>
        <w:t>vitro</w:t>
      </w:r>
      <w:r w:rsidRPr="00FC2FB3">
        <w:t xml:space="preserve"> та </w:t>
      </w:r>
      <w:r w:rsidRPr="00FC2FB3">
        <w:rPr>
          <w:i/>
          <w:szCs w:val="22"/>
        </w:rPr>
        <w:t>ex vivo</w:t>
      </w:r>
      <w:r w:rsidRPr="00FC2FB3">
        <w:t xml:space="preserve"> з мікросомами печінки </w:t>
      </w:r>
      <w:r w:rsidRPr="00FC2FB3">
        <w:rPr>
          <w:lang w:val="uk-UA"/>
        </w:rPr>
        <w:t>котів</w:t>
      </w:r>
      <w:r w:rsidRPr="00FC2FB3">
        <w:t xml:space="preserve"> можна зробити висновок, що телмісартан </w:t>
      </w:r>
      <w:r w:rsidRPr="00FC2FB3">
        <w:rPr>
          <w:lang w:val="uk-UA"/>
        </w:rPr>
        <w:t>активно</w:t>
      </w:r>
      <w:r w:rsidRPr="00FC2FB3">
        <w:t xml:space="preserve"> глюкуронідується в організмі кішки. В результаті глюкуронізації утворюється 1-</w:t>
      </w:r>
      <w:r w:rsidRPr="00FC2FB3">
        <w:rPr>
          <w:i/>
          <w:iCs/>
          <w:szCs w:val="22"/>
        </w:rPr>
        <w:t>O</w:t>
      </w:r>
      <w:r w:rsidRPr="00FC2FB3">
        <w:t>-ацилглюкуронідний метаболіт телмісартану.</w:t>
      </w:r>
    </w:p>
    <w:p w14:paraId="23962D95" w14:textId="77777777" w:rsidR="009707EC" w:rsidRPr="00FC2FB3" w:rsidRDefault="009707EC" w:rsidP="009707EC">
      <w:pPr>
        <w:ind w:firstLine="567"/>
        <w:jc w:val="both"/>
        <w:rPr>
          <w:szCs w:val="22"/>
          <w:u w:val="single"/>
        </w:rPr>
      </w:pPr>
      <w:r w:rsidRPr="00FC2FB3">
        <w:rPr>
          <w:szCs w:val="22"/>
          <w:u w:val="single"/>
        </w:rPr>
        <w:t>Виведення</w:t>
      </w:r>
    </w:p>
    <w:p w14:paraId="37A0EA1B" w14:textId="535F84A5" w:rsidR="00E34DED" w:rsidRPr="00FC2FB3" w:rsidRDefault="009707EC" w:rsidP="009707EC">
      <w:pPr>
        <w:ind w:firstLine="567"/>
        <w:jc w:val="both"/>
        <w:rPr>
          <w:szCs w:val="22"/>
        </w:rPr>
      </w:pPr>
      <w:r w:rsidRPr="00FC2FB3">
        <w:rPr>
          <w:lang w:val="uk-UA"/>
        </w:rPr>
        <w:t>П</w:t>
      </w:r>
      <w:r w:rsidRPr="00FC2FB3">
        <w:t>еріод напіввиведення (t</w:t>
      </w:r>
      <w:r w:rsidRPr="00FC2FB3">
        <w:rPr>
          <w:szCs w:val="22"/>
          <w:vertAlign w:val="subscript"/>
        </w:rPr>
        <w:t>1/2</w:t>
      </w:r>
      <w:r w:rsidRPr="00FC2FB3">
        <w:t xml:space="preserve">) </w:t>
      </w:r>
      <w:r w:rsidRPr="00FC2FB3">
        <w:rPr>
          <w:lang w:val="uk-UA"/>
        </w:rPr>
        <w:t xml:space="preserve">телмісартану </w:t>
      </w:r>
      <w:r w:rsidRPr="00FC2FB3">
        <w:t>становив від 7,3 до 8,6 години, середнє значення</w:t>
      </w:r>
      <w:r w:rsidRPr="00FC2FB3">
        <w:rPr>
          <w:lang w:val="uk-UA"/>
        </w:rPr>
        <w:t xml:space="preserve"> </w:t>
      </w:r>
      <w:r w:rsidRPr="00FC2FB3">
        <w:t>— 7,7</w:t>
      </w:r>
      <w:r w:rsidRPr="00FC2FB3">
        <w:rPr>
          <w:lang w:val="uk-UA"/>
        </w:rPr>
        <w:t xml:space="preserve"> </w:t>
      </w:r>
      <w:r w:rsidRPr="00FC2FB3">
        <w:t xml:space="preserve">години. Після перорального </w:t>
      </w:r>
      <w:r w:rsidRPr="00FC2FB3">
        <w:rPr>
          <w:lang w:val="uk-UA"/>
        </w:rPr>
        <w:t>застосування</w:t>
      </w:r>
      <w:r w:rsidRPr="00FC2FB3">
        <w:t xml:space="preserve"> телмісартан практично повністю виводиться з калом переважно у </w:t>
      </w:r>
      <w:r w:rsidRPr="00FC2FB3">
        <w:rPr>
          <w:lang w:val="uk-UA"/>
        </w:rPr>
        <w:t xml:space="preserve">незміненому </w:t>
      </w:r>
      <w:r w:rsidRPr="00FC2FB3">
        <w:t>вигля</w:t>
      </w:r>
      <w:r w:rsidRPr="00FC2FB3">
        <w:rPr>
          <w:lang w:val="uk-UA"/>
        </w:rPr>
        <w:t>ді</w:t>
      </w:r>
      <w:r w:rsidRPr="00FC2FB3">
        <w:t>.</w:t>
      </w:r>
    </w:p>
    <w:p w14:paraId="42372F83" w14:textId="77777777" w:rsidR="00A24AF9" w:rsidRPr="00FC2FB3" w:rsidRDefault="00A24AF9" w:rsidP="00C025B4">
      <w:pPr>
        <w:widowControl w:val="0"/>
        <w:tabs>
          <w:tab w:val="left" w:pos="0"/>
        </w:tabs>
        <w:ind w:firstLine="567"/>
        <w:jc w:val="both"/>
        <w:rPr>
          <w:b/>
          <w:snapToGrid w:val="0"/>
          <w:lang w:val="uk-UA"/>
        </w:rPr>
      </w:pPr>
      <w:r w:rsidRPr="00FC2FB3">
        <w:rPr>
          <w:b/>
          <w:snapToGrid w:val="0"/>
          <w:lang w:val="uk-UA"/>
        </w:rPr>
        <w:t>5. Клінічні особливості</w:t>
      </w:r>
    </w:p>
    <w:p w14:paraId="5A267ACC" w14:textId="77777777" w:rsidR="00BE5165" w:rsidRPr="00FC2FB3" w:rsidRDefault="00A24AF9" w:rsidP="00C025B4">
      <w:pPr>
        <w:widowControl w:val="0"/>
        <w:tabs>
          <w:tab w:val="left" w:pos="0"/>
        </w:tabs>
        <w:ind w:firstLine="567"/>
        <w:jc w:val="both"/>
        <w:rPr>
          <w:b/>
          <w:snapToGrid w:val="0"/>
          <w:lang w:val="uk-UA"/>
        </w:rPr>
      </w:pPr>
      <w:r w:rsidRPr="00FC2FB3">
        <w:rPr>
          <w:b/>
          <w:snapToGrid w:val="0"/>
          <w:lang w:val="uk-UA"/>
        </w:rPr>
        <w:t>5.</w:t>
      </w:r>
      <w:r w:rsidR="00BE5165" w:rsidRPr="00FC2FB3">
        <w:rPr>
          <w:b/>
          <w:snapToGrid w:val="0"/>
          <w:lang w:val="uk-UA"/>
        </w:rPr>
        <w:t>1</w:t>
      </w:r>
      <w:r w:rsidRPr="00FC2FB3">
        <w:rPr>
          <w:b/>
          <w:snapToGrid w:val="0"/>
          <w:lang w:val="uk-UA"/>
        </w:rPr>
        <w:t xml:space="preserve"> Вид тварин</w:t>
      </w:r>
    </w:p>
    <w:p w14:paraId="1141C585" w14:textId="41354768" w:rsidR="0005232E" w:rsidRPr="00FC2FB3" w:rsidRDefault="00B0218A" w:rsidP="00C025B4">
      <w:pPr>
        <w:tabs>
          <w:tab w:val="left" w:pos="0"/>
          <w:tab w:val="left" w:pos="142"/>
          <w:tab w:val="left" w:pos="284"/>
          <w:tab w:val="left" w:pos="708"/>
        </w:tabs>
        <w:ind w:firstLine="567"/>
        <w:contextualSpacing/>
        <w:jc w:val="both"/>
        <w:rPr>
          <w:bCs/>
          <w:iCs/>
          <w:lang w:val="uk-UA"/>
        </w:rPr>
      </w:pPr>
      <w:r w:rsidRPr="00FC2FB3">
        <w:rPr>
          <w:rStyle w:val="FontStyle14"/>
          <w:b w:val="0"/>
          <w:sz w:val="24"/>
          <w:szCs w:val="24"/>
          <w:lang w:val="uk-UA"/>
        </w:rPr>
        <w:t>К</w:t>
      </w:r>
      <w:r w:rsidR="00B840D3" w:rsidRPr="00FC2FB3">
        <w:rPr>
          <w:rStyle w:val="FontStyle14"/>
          <w:b w:val="0"/>
          <w:sz w:val="24"/>
          <w:szCs w:val="24"/>
          <w:lang w:val="uk-UA"/>
        </w:rPr>
        <w:t>оти</w:t>
      </w:r>
      <w:r w:rsidR="00D80FE1" w:rsidRPr="00FC2FB3">
        <w:rPr>
          <w:rStyle w:val="FontStyle14"/>
          <w:b w:val="0"/>
          <w:sz w:val="24"/>
          <w:szCs w:val="24"/>
          <w:lang w:val="uk-UA"/>
        </w:rPr>
        <w:t>.</w:t>
      </w:r>
    </w:p>
    <w:p w14:paraId="234337E4" w14:textId="77777777" w:rsidR="00816D31" w:rsidRPr="00FC2FB3" w:rsidRDefault="00816D31" w:rsidP="00C025B4">
      <w:pPr>
        <w:pStyle w:val="3"/>
        <w:tabs>
          <w:tab w:val="left" w:pos="0"/>
        </w:tabs>
        <w:ind w:firstLine="567"/>
        <w:rPr>
          <w:szCs w:val="24"/>
        </w:rPr>
      </w:pPr>
      <w:r w:rsidRPr="00FC2FB3">
        <w:rPr>
          <w:szCs w:val="24"/>
        </w:rPr>
        <w:t>5.2 Показання до застосування</w:t>
      </w:r>
    </w:p>
    <w:p w14:paraId="4AD05869" w14:textId="5A2D1801" w:rsidR="00EB248E" w:rsidRPr="00FC2FB3" w:rsidRDefault="00FA44EA" w:rsidP="00C025B4">
      <w:pPr>
        <w:ind w:firstLine="567"/>
        <w:jc w:val="both"/>
        <w:rPr>
          <w:lang w:val="uk-UA"/>
        </w:rPr>
      </w:pPr>
      <w:r w:rsidRPr="00FC2FB3">
        <w:rPr>
          <w:lang w:val="uk-UA"/>
        </w:rPr>
        <w:t>Застосовують для з</w:t>
      </w:r>
      <w:r w:rsidR="00EB248E" w:rsidRPr="00FC2FB3">
        <w:rPr>
          <w:lang w:val="uk-UA"/>
        </w:rPr>
        <w:t xml:space="preserve">ниження рівня протеїнурії, пов’язане з хронічною хворобою нирок (ХХН) у </w:t>
      </w:r>
      <w:r w:rsidR="00AD2973" w:rsidRPr="00FC2FB3">
        <w:rPr>
          <w:lang w:val="uk-UA"/>
        </w:rPr>
        <w:t>котів</w:t>
      </w:r>
      <w:r w:rsidR="00EB248E" w:rsidRPr="00FC2FB3">
        <w:rPr>
          <w:lang w:val="uk-UA"/>
        </w:rPr>
        <w:t>.</w:t>
      </w:r>
    </w:p>
    <w:p w14:paraId="35DC8212" w14:textId="7DE0DE15" w:rsidR="00EB248E" w:rsidRPr="00FC2FB3" w:rsidRDefault="00EB248E" w:rsidP="00C025B4">
      <w:pPr>
        <w:ind w:left="567"/>
        <w:jc w:val="both"/>
      </w:pPr>
      <w:r w:rsidRPr="00FC2FB3">
        <w:t xml:space="preserve">Лікування системної гіпертензії </w:t>
      </w:r>
      <w:r w:rsidR="00AD2973" w:rsidRPr="00FC2FB3">
        <w:rPr>
          <w:lang w:val="uk-UA"/>
        </w:rPr>
        <w:t>котів</w:t>
      </w:r>
      <w:r w:rsidRPr="00FC2FB3">
        <w:t>.</w:t>
      </w:r>
    </w:p>
    <w:p w14:paraId="0FA1F8BA" w14:textId="77777777" w:rsidR="00BE5165" w:rsidRPr="00FC2FB3" w:rsidRDefault="00A24AF9" w:rsidP="00C025B4">
      <w:pPr>
        <w:pStyle w:val="3"/>
        <w:tabs>
          <w:tab w:val="left" w:pos="0"/>
        </w:tabs>
        <w:ind w:firstLine="567"/>
      </w:pPr>
      <w:r w:rsidRPr="00FC2FB3">
        <w:t>5.</w:t>
      </w:r>
      <w:r w:rsidR="00BE5165" w:rsidRPr="00FC2FB3">
        <w:t>3</w:t>
      </w:r>
      <w:r w:rsidRPr="00FC2FB3">
        <w:t xml:space="preserve"> Протипоказ</w:t>
      </w:r>
      <w:r w:rsidR="00BE5165" w:rsidRPr="00FC2FB3">
        <w:t>ання</w:t>
      </w:r>
    </w:p>
    <w:p w14:paraId="02CCAF3A" w14:textId="7C393845" w:rsidR="00023ABC" w:rsidRPr="00FC2FB3" w:rsidRDefault="00023ABC" w:rsidP="00C025B4">
      <w:pPr>
        <w:ind w:firstLine="567"/>
        <w:jc w:val="both"/>
        <w:rPr>
          <w:szCs w:val="22"/>
        </w:rPr>
      </w:pPr>
      <w:r w:rsidRPr="00FC2FB3">
        <w:t>Не застосовувати препарат у період вагітності чи лактації.</w:t>
      </w:r>
    </w:p>
    <w:p w14:paraId="016AE2DF" w14:textId="77777777" w:rsidR="00023ABC" w:rsidRPr="00FC2FB3" w:rsidRDefault="00023ABC" w:rsidP="00C025B4">
      <w:pPr>
        <w:ind w:firstLine="567"/>
        <w:jc w:val="both"/>
        <w:rPr>
          <w:szCs w:val="22"/>
        </w:rPr>
      </w:pPr>
      <w:r w:rsidRPr="00FC2FB3">
        <w:t>Не застосовувати препарат у випадку підвищеної чутливості до діючих речовин або будь-якої допоміжної речовини.</w:t>
      </w:r>
    </w:p>
    <w:p w14:paraId="5096AB14" w14:textId="77777777" w:rsidR="00BE5165" w:rsidRPr="00FC2FB3" w:rsidRDefault="00BE5165" w:rsidP="00C025B4">
      <w:pPr>
        <w:widowControl w:val="0"/>
        <w:tabs>
          <w:tab w:val="left" w:pos="0"/>
        </w:tabs>
        <w:ind w:firstLine="567"/>
        <w:jc w:val="both"/>
        <w:rPr>
          <w:b/>
          <w:snapToGrid w:val="0"/>
          <w:lang w:val="uk-UA"/>
        </w:rPr>
      </w:pPr>
      <w:r w:rsidRPr="00FC2FB3">
        <w:rPr>
          <w:b/>
          <w:snapToGrid w:val="0"/>
          <w:lang w:val="uk-UA"/>
        </w:rPr>
        <w:t>5.4</w:t>
      </w:r>
      <w:r w:rsidR="00A24AF9" w:rsidRPr="00FC2FB3">
        <w:rPr>
          <w:b/>
          <w:snapToGrid w:val="0"/>
          <w:lang w:val="uk-UA"/>
        </w:rPr>
        <w:t xml:space="preserve"> Побічна дія</w:t>
      </w:r>
    </w:p>
    <w:p w14:paraId="60E1BD7F" w14:textId="0AC71503" w:rsidR="004D08DC" w:rsidRPr="00FC2FB3" w:rsidRDefault="00023ABC" w:rsidP="00C025B4">
      <w:pPr>
        <w:widowControl w:val="0"/>
        <w:tabs>
          <w:tab w:val="left" w:pos="0"/>
        </w:tabs>
        <w:ind w:firstLine="567"/>
        <w:jc w:val="both"/>
        <w:rPr>
          <w:rStyle w:val="hps"/>
          <w:snapToGrid w:val="0"/>
          <w:lang w:val="uk-UA"/>
        </w:rPr>
      </w:pPr>
      <w:r w:rsidRPr="00FC2FB3">
        <w:rPr>
          <w:snapToGrid w:val="0"/>
          <w:lang w:val="uk-UA"/>
        </w:rPr>
        <w:t xml:space="preserve">Рідко можуть виникати легкі та тимчасові шлунково-кишкові прояви, </w:t>
      </w:r>
      <w:r w:rsidR="00265A8D" w:rsidRPr="00FC2FB3">
        <w:rPr>
          <w:snapToGrid w:val="0"/>
          <w:lang w:val="uk-UA"/>
        </w:rPr>
        <w:t xml:space="preserve">такі </w:t>
      </w:r>
      <w:r w:rsidRPr="00FC2FB3">
        <w:rPr>
          <w:snapToGrid w:val="0"/>
          <w:lang w:val="uk-UA"/>
        </w:rPr>
        <w:t>як блювання або діарея</w:t>
      </w:r>
      <w:r w:rsidRPr="00FC2FB3">
        <w:rPr>
          <w:snapToGrid w:val="0"/>
          <w:vertAlign w:val="superscript"/>
          <w:lang w:val="uk-UA"/>
        </w:rPr>
        <w:t>1</w:t>
      </w:r>
      <w:r w:rsidRPr="00FC2FB3">
        <w:rPr>
          <w:snapToGrid w:val="0"/>
          <w:lang w:val="uk-UA"/>
        </w:rPr>
        <w:t>.</w:t>
      </w:r>
    </w:p>
    <w:p w14:paraId="4F2FA3DA" w14:textId="1A95EF46" w:rsidR="004D08DC" w:rsidRPr="00FC2FB3" w:rsidRDefault="004D08DC" w:rsidP="00C025B4">
      <w:pPr>
        <w:widowControl w:val="0"/>
        <w:tabs>
          <w:tab w:val="left" w:pos="0"/>
        </w:tabs>
        <w:ind w:firstLine="567"/>
        <w:jc w:val="both"/>
        <w:rPr>
          <w:snapToGrid w:val="0"/>
          <w:lang w:val="uk-UA"/>
        </w:rPr>
      </w:pPr>
      <w:r w:rsidRPr="00FC2FB3">
        <w:rPr>
          <w:rStyle w:val="FontStyle12"/>
          <w:sz w:val="24"/>
          <w:szCs w:val="24"/>
          <w:lang w:val="uk-UA" w:eastAsia="uk-UA"/>
        </w:rPr>
        <w:t>У дуже рідких випадках</w:t>
      </w:r>
      <w:r w:rsidRPr="00FC2FB3">
        <w:rPr>
          <w:rStyle w:val="hps"/>
          <w:lang w:val="uk-UA"/>
        </w:rPr>
        <w:t xml:space="preserve"> </w:t>
      </w:r>
      <w:r w:rsidRPr="00FC2FB3">
        <w:rPr>
          <w:snapToGrid w:val="0"/>
          <w:lang w:val="uk-UA"/>
        </w:rPr>
        <w:t xml:space="preserve">після застосування препарату спостерігається </w:t>
      </w:r>
      <w:r w:rsidR="00023ABC" w:rsidRPr="00FC2FB3">
        <w:rPr>
          <w:snapToGrid w:val="0"/>
          <w:lang w:val="uk-UA"/>
        </w:rPr>
        <w:t>підвищення рівнів печінкових ферментів</w:t>
      </w:r>
      <w:r w:rsidR="00023ABC" w:rsidRPr="00FC2FB3">
        <w:rPr>
          <w:snapToGrid w:val="0"/>
          <w:vertAlign w:val="superscript"/>
          <w:lang w:val="uk-UA"/>
        </w:rPr>
        <w:t xml:space="preserve">2 </w:t>
      </w:r>
      <w:r w:rsidR="00023ABC" w:rsidRPr="00FC2FB3">
        <w:rPr>
          <w:snapToGrid w:val="0"/>
          <w:lang w:val="uk-UA"/>
        </w:rPr>
        <w:t>та зниження кількості еритроцитів у крові</w:t>
      </w:r>
      <w:r w:rsidRPr="00FC2FB3">
        <w:rPr>
          <w:snapToGrid w:val="0"/>
          <w:lang w:val="uk-UA"/>
        </w:rPr>
        <w:t>.</w:t>
      </w:r>
    </w:p>
    <w:p w14:paraId="3D4BA463" w14:textId="77777777" w:rsidR="00023ABC" w:rsidRPr="00FC2FB3" w:rsidRDefault="00023ABC" w:rsidP="00023ABC">
      <w:pPr>
        <w:ind w:left="567"/>
        <w:rPr>
          <w:sz w:val="18"/>
          <w:szCs w:val="18"/>
          <w:lang w:val="uk-UA"/>
        </w:rPr>
      </w:pPr>
      <w:r w:rsidRPr="00FC2FB3">
        <w:rPr>
          <w:sz w:val="18"/>
          <w:szCs w:val="18"/>
          <w:vertAlign w:val="superscript"/>
          <w:lang w:val="uk-UA"/>
        </w:rPr>
        <w:t>1</w:t>
      </w:r>
      <w:r w:rsidRPr="00FC2FB3">
        <w:rPr>
          <w:sz w:val="18"/>
          <w:szCs w:val="18"/>
          <w:lang w:val="uk-UA"/>
        </w:rPr>
        <w:t xml:space="preserve"> При застосуванні препарату в початковій терапевтичній дозі 2</w:t>
      </w:r>
      <w:r w:rsidRPr="00FC2FB3">
        <w:rPr>
          <w:sz w:val="18"/>
          <w:szCs w:val="18"/>
        </w:rPr>
        <w:t> </w:t>
      </w:r>
      <w:r w:rsidRPr="00FC2FB3">
        <w:rPr>
          <w:sz w:val="18"/>
          <w:szCs w:val="18"/>
          <w:lang w:val="uk-UA"/>
        </w:rPr>
        <w:t>мг/кг для лікування системної гіпертензії часто повідомляється про блювання та діарею.</w:t>
      </w:r>
    </w:p>
    <w:p w14:paraId="19EE4FDF" w14:textId="77777777" w:rsidR="00023ABC" w:rsidRPr="00FC2FB3" w:rsidRDefault="00023ABC" w:rsidP="00023ABC">
      <w:pPr>
        <w:ind w:left="567"/>
        <w:rPr>
          <w:lang w:val="uk-UA"/>
        </w:rPr>
      </w:pPr>
      <w:r w:rsidRPr="00FC2FB3">
        <w:rPr>
          <w:vertAlign w:val="superscript"/>
          <w:lang w:val="uk-UA"/>
        </w:rPr>
        <w:t>2</w:t>
      </w:r>
      <w:r w:rsidRPr="00FC2FB3">
        <w:rPr>
          <w:lang w:val="uk-UA"/>
        </w:rPr>
        <w:t xml:space="preserve"> </w:t>
      </w:r>
      <w:r w:rsidRPr="00FC2FB3">
        <w:rPr>
          <w:sz w:val="18"/>
          <w:szCs w:val="18"/>
          <w:lang w:val="uk-UA"/>
        </w:rPr>
        <w:t>Нормалізація показників відбувається протягом кількох днів після припинення терапії.</w:t>
      </w:r>
    </w:p>
    <w:p w14:paraId="71ADBF8E" w14:textId="77777777" w:rsidR="000C749F" w:rsidRPr="00FC2FB3" w:rsidRDefault="00A24AF9" w:rsidP="00E732EF">
      <w:pPr>
        <w:widowControl w:val="0"/>
        <w:tabs>
          <w:tab w:val="left" w:pos="0"/>
        </w:tabs>
        <w:ind w:firstLine="567"/>
        <w:jc w:val="both"/>
        <w:rPr>
          <w:b/>
          <w:snapToGrid w:val="0"/>
          <w:lang w:val="uk-UA"/>
        </w:rPr>
      </w:pPr>
      <w:r w:rsidRPr="00FC2FB3">
        <w:rPr>
          <w:b/>
          <w:snapToGrid w:val="0"/>
        </w:rPr>
        <w:t>5.</w:t>
      </w:r>
      <w:r w:rsidR="00BE5165" w:rsidRPr="00FC2FB3">
        <w:rPr>
          <w:b/>
          <w:snapToGrid w:val="0"/>
          <w:lang w:val="uk-UA"/>
        </w:rPr>
        <w:t>5</w:t>
      </w:r>
      <w:r w:rsidRPr="00FC2FB3">
        <w:rPr>
          <w:b/>
          <w:snapToGrid w:val="0"/>
        </w:rPr>
        <w:t xml:space="preserve"> Особливі застереження при використанні</w:t>
      </w:r>
    </w:p>
    <w:p w14:paraId="4D01E4A3" w14:textId="05ABB107" w:rsidR="00E34DED" w:rsidRPr="00FC2FB3" w:rsidRDefault="00E34DED" w:rsidP="00C025B4">
      <w:pPr>
        <w:keepNext/>
        <w:keepLines/>
        <w:ind w:firstLine="567"/>
        <w:jc w:val="both"/>
      </w:pPr>
      <w:r w:rsidRPr="00FC2FB3">
        <w:t>Безпе</w:t>
      </w:r>
      <w:r w:rsidR="00AD2973" w:rsidRPr="00FC2FB3">
        <w:rPr>
          <w:lang w:val="uk-UA"/>
        </w:rPr>
        <w:t>чність</w:t>
      </w:r>
      <w:r w:rsidRPr="00FC2FB3">
        <w:t xml:space="preserve"> та ефективність телмісартану у </w:t>
      </w:r>
      <w:r w:rsidR="00AD2973" w:rsidRPr="00FC2FB3">
        <w:rPr>
          <w:lang w:val="uk-UA"/>
        </w:rPr>
        <w:t>котів</w:t>
      </w:r>
      <w:r w:rsidR="00AD2973" w:rsidRPr="00FC2FB3">
        <w:t xml:space="preserve"> </w:t>
      </w:r>
      <w:r w:rsidRPr="00FC2FB3">
        <w:t>віком до 6 місяців не в</w:t>
      </w:r>
      <w:r w:rsidR="00A57DA0" w:rsidRPr="00FC2FB3">
        <w:rPr>
          <w:lang w:val="uk-UA"/>
        </w:rPr>
        <w:t>становлен</w:t>
      </w:r>
      <w:r w:rsidR="00265A8D" w:rsidRPr="00FC2FB3">
        <w:rPr>
          <w:lang w:val="uk-UA"/>
        </w:rPr>
        <w:t>а</w:t>
      </w:r>
      <w:r w:rsidRPr="00FC2FB3">
        <w:t>.</w:t>
      </w:r>
    </w:p>
    <w:p w14:paraId="5CAD319B" w14:textId="5B73FE26" w:rsidR="00E34DED" w:rsidRPr="00FC2FB3" w:rsidRDefault="00E34DED" w:rsidP="00C025B4">
      <w:pPr>
        <w:autoSpaceDE w:val="0"/>
        <w:autoSpaceDN w:val="0"/>
        <w:ind w:firstLine="567"/>
        <w:jc w:val="both"/>
        <w:rPr>
          <w:szCs w:val="22"/>
        </w:rPr>
      </w:pPr>
      <w:r w:rsidRPr="00FC2FB3">
        <w:t xml:space="preserve">Належною клінічною практикою є моніторинг артеріального тиску у </w:t>
      </w:r>
      <w:r w:rsidR="00265A8D" w:rsidRPr="00FC2FB3">
        <w:rPr>
          <w:lang w:val="uk-UA"/>
        </w:rPr>
        <w:t>котів</w:t>
      </w:r>
      <w:r w:rsidRPr="00FC2FB3">
        <w:t>, які отримують ветеринарний лікарський засіб та перебувають під анестезією.</w:t>
      </w:r>
    </w:p>
    <w:p w14:paraId="04F4A1F6" w14:textId="7D1919AC" w:rsidR="00E34DED" w:rsidRPr="00FC2FB3" w:rsidRDefault="00E34DED" w:rsidP="00C025B4">
      <w:pPr>
        <w:ind w:firstLine="567"/>
        <w:jc w:val="both"/>
      </w:pPr>
      <w:r w:rsidRPr="00FC2FB3">
        <w:t>Через механізм дії ветеринарного лікарського засобу може виникнути транзиторна гіпотензія. У разі появи клінічних ознак гіпотензії необхідно провести симптоматичне лікування, наприклад, призначити інфузійну терапію. Дозу телмісартану слід знизити, якщо систолічний артеріальний тиск (САТ) стабільно нижчий за 120 мм рт.ст. або якщо наявні супутні ознаки гіпотензії.</w:t>
      </w:r>
    </w:p>
    <w:p w14:paraId="736D00EF" w14:textId="46FAE581" w:rsidR="00E34DED" w:rsidRPr="00FC2FB3" w:rsidRDefault="00E34DED" w:rsidP="00C025B4">
      <w:pPr>
        <w:ind w:firstLine="567"/>
        <w:jc w:val="both"/>
      </w:pPr>
      <w:r w:rsidRPr="00FC2FB3">
        <w:t xml:space="preserve">Як відомо, при застосуванні речовин, що діють на ренін-ангіотензин-альдостеронову систему (РААС), можливе незначне зниження кількості еритроцитів у крові. Під час терапії необхідно контролювати кількість еритроцитів у крові. </w:t>
      </w:r>
    </w:p>
    <w:p w14:paraId="52FA9B95" w14:textId="04A8D109" w:rsidR="00E34DED" w:rsidRPr="00FC2FB3" w:rsidRDefault="00E34DED" w:rsidP="00C025B4">
      <w:pPr>
        <w:ind w:firstLine="567"/>
        <w:jc w:val="both"/>
      </w:pPr>
      <w:r w:rsidRPr="00FC2FB3">
        <w:t xml:space="preserve">Речовини, що діють на РААС, можуть призводити до зниження швидкості клубочкової фільтрації та погіршення функції нирок у </w:t>
      </w:r>
      <w:r w:rsidR="00A57DA0" w:rsidRPr="00FC2FB3">
        <w:rPr>
          <w:lang w:val="uk-UA"/>
        </w:rPr>
        <w:t>котів</w:t>
      </w:r>
      <w:r w:rsidR="00A57DA0" w:rsidRPr="00FC2FB3">
        <w:t xml:space="preserve"> </w:t>
      </w:r>
      <w:r w:rsidRPr="00FC2FB3">
        <w:t>з тяжкими захворюваннями нирок. Безпе</w:t>
      </w:r>
      <w:r w:rsidR="00A57DA0" w:rsidRPr="00FC2FB3">
        <w:rPr>
          <w:lang w:val="uk-UA"/>
        </w:rPr>
        <w:t>чність</w:t>
      </w:r>
      <w:r w:rsidRPr="00FC2FB3">
        <w:t xml:space="preserve"> та ефективність телмісартану у таких пацієнтів не вивчали. При застосуванні цього препарату </w:t>
      </w:r>
      <w:r w:rsidR="00A57DA0" w:rsidRPr="00FC2FB3">
        <w:rPr>
          <w:lang w:val="uk-UA"/>
        </w:rPr>
        <w:t xml:space="preserve">котам </w:t>
      </w:r>
      <w:r w:rsidRPr="00FC2FB3">
        <w:t xml:space="preserve"> із тяжкими захворюваннями нирок рекомендується контролювати функцію нирок (концентрацію креатиніну у плазмі крові).</w:t>
      </w:r>
    </w:p>
    <w:p w14:paraId="732F9804" w14:textId="5B68038F" w:rsidR="00E34DED" w:rsidRPr="00FC2FB3" w:rsidRDefault="00E34DED" w:rsidP="00C025B4">
      <w:pPr>
        <w:ind w:firstLine="567"/>
        <w:jc w:val="both"/>
        <w:rPr>
          <w:szCs w:val="22"/>
        </w:rPr>
      </w:pPr>
      <w:r w:rsidRPr="00FC2FB3">
        <w:t xml:space="preserve">У </w:t>
      </w:r>
      <w:r w:rsidR="00A57DA0" w:rsidRPr="00FC2FB3">
        <w:rPr>
          <w:lang w:val="uk-UA"/>
        </w:rPr>
        <w:t>котів</w:t>
      </w:r>
      <w:r w:rsidR="00A57DA0" w:rsidRPr="00FC2FB3">
        <w:t xml:space="preserve"> </w:t>
      </w:r>
      <w:r w:rsidRPr="00FC2FB3">
        <w:t>з артеріальною гіпертензією відповідно до належної клінічної практики необхідно проводити регулярний моніторинг артеріального тиску.</w:t>
      </w:r>
    </w:p>
    <w:p w14:paraId="6AAED3C0" w14:textId="77777777" w:rsidR="000C749F" w:rsidRPr="00FC2FB3" w:rsidRDefault="00A24AF9" w:rsidP="00E732EF">
      <w:pPr>
        <w:widowControl w:val="0"/>
        <w:tabs>
          <w:tab w:val="left" w:pos="0"/>
        </w:tabs>
        <w:ind w:firstLine="567"/>
        <w:jc w:val="both"/>
        <w:rPr>
          <w:b/>
          <w:snapToGrid w:val="0"/>
          <w:lang w:val="uk-UA"/>
        </w:rPr>
      </w:pPr>
      <w:r w:rsidRPr="00FC2FB3">
        <w:rPr>
          <w:b/>
          <w:snapToGrid w:val="0"/>
        </w:rPr>
        <w:t>5.</w:t>
      </w:r>
      <w:r w:rsidR="000C749F" w:rsidRPr="00FC2FB3">
        <w:rPr>
          <w:b/>
          <w:snapToGrid w:val="0"/>
          <w:lang w:val="uk-UA"/>
        </w:rPr>
        <w:t>6</w:t>
      </w:r>
      <w:r w:rsidRPr="00FC2FB3">
        <w:rPr>
          <w:b/>
          <w:snapToGrid w:val="0"/>
        </w:rPr>
        <w:t xml:space="preserve"> </w:t>
      </w:r>
      <w:r w:rsidR="000C749F" w:rsidRPr="00FC2FB3">
        <w:rPr>
          <w:b/>
          <w:snapToGrid w:val="0"/>
          <w:lang w:val="uk-UA"/>
        </w:rPr>
        <w:t>Використ</w:t>
      </w:r>
      <w:r w:rsidRPr="00FC2FB3">
        <w:rPr>
          <w:b/>
          <w:snapToGrid w:val="0"/>
        </w:rPr>
        <w:t>ання під час вагітності</w:t>
      </w:r>
      <w:r w:rsidR="00104EA0" w:rsidRPr="00FC2FB3">
        <w:rPr>
          <w:b/>
          <w:snapToGrid w:val="0"/>
          <w:lang w:val="uk-UA"/>
        </w:rPr>
        <w:t xml:space="preserve"> та</w:t>
      </w:r>
      <w:r w:rsidRPr="00FC2FB3">
        <w:rPr>
          <w:b/>
          <w:snapToGrid w:val="0"/>
        </w:rPr>
        <w:t xml:space="preserve"> лактації</w:t>
      </w:r>
    </w:p>
    <w:p w14:paraId="1B440FED" w14:textId="0BE9E5F4" w:rsidR="00023ABC" w:rsidRPr="00FC2FB3" w:rsidRDefault="00023ABC" w:rsidP="00C025B4">
      <w:pPr>
        <w:ind w:firstLine="567"/>
        <w:jc w:val="both"/>
        <w:rPr>
          <w:iCs/>
          <w:szCs w:val="22"/>
        </w:rPr>
      </w:pPr>
      <w:r w:rsidRPr="00FC2FB3">
        <w:t>Безпе</w:t>
      </w:r>
      <w:r w:rsidR="00A57DA0" w:rsidRPr="00FC2FB3">
        <w:rPr>
          <w:lang w:val="uk-UA"/>
        </w:rPr>
        <w:t>чність</w:t>
      </w:r>
      <w:r w:rsidRPr="00FC2FB3">
        <w:t xml:space="preserve"> застосування ветеринарного препарату у період спарювання, вагітності та лактації не встановлена. </w:t>
      </w:r>
    </w:p>
    <w:p w14:paraId="547C37D3" w14:textId="77777777" w:rsidR="00023ABC" w:rsidRPr="00FC2FB3" w:rsidRDefault="00023ABC" w:rsidP="00C025B4">
      <w:pPr>
        <w:widowControl w:val="0"/>
        <w:tabs>
          <w:tab w:val="left" w:pos="0"/>
        </w:tabs>
        <w:ind w:firstLine="567"/>
        <w:jc w:val="both"/>
        <w:rPr>
          <w:lang w:val="uk-UA"/>
        </w:rPr>
      </w:pPr>
      <w:r w:rsidRPr="00FC2FB3">
        <w:t>Не застосовувати препарат у період вагітності та лактації</w:t>
      </w:r>
      <w:r w:rsidRPr="00FC2FB3">
        <w:rPr>
          <w:lang w:val="uk-UA"/>
        </w:rPr>
        <w:t>.</w:t>
      </w:r>
    </w:p>
    <w:p w14:paraId="6D398EBC" w14:textId="3058A9F0" w:rsidR="009075F5" w:rsidRPr="00FC2FB3" w:rsidRDefault="00023ABC" w:rsidP="00C025B4">
      <w:pPr>
        <w:widowControl w:val="0"/>
        <w:tabs>
          <w:tab w:val="left" w:pos="0"/>
        </w:tabs>
        <w:ind w:firstLine="567"/>
        <w:jc w:val="both"/>
        <w:rPr>
          <w:b/>
          <w:snapToGrid w:val="0"/>
          <w:lang w:val="uk-UA"/>
        </w:rPr>
      </w:pPr>
      <w:r w:rsidRPr="00FC2FB3">
        <w:t xml:space="preserve"> </w:t>
      </w:r>
      <w:r w:rsidR="00F407DD" w:rsidRPr="00FC2FB3">
        <w:rPr>
          <w:b/>
          <w:snapToGrid w:val="0"/>
          <w:lang w:val="uk-UA"/>
        </w:rPr>
        <w:t>5.7 Взаємодія з іншими засобами та інші форми взаємодії</w:t>
      </w:r>
    </w:p>
    <w:p w14:paraId="60F49335" w14:textId="77777777" w:rsidR="00FD4908" w:rsidRPr="00FC2FB3" w:rsidRDefault="00FD4908" w:rsidP="00FD4908">
      <w:pPr>
        <w:ind w:firstLine="567"/>
        <w:jc w:val="both"/>
      </w:pPr>
      <w:r w:rsidRPr="00FC2FB3">
        <w:rPr>
          <w:lang w:val="uk-UA"/>
        </w:rPr>
        <w:t xml:space="preserve">За наявними даними у котів з ХХН та/або артеріальною гіпертензією не виявлено взаємодії телмісартану з іншими лікарськими засобами, що знижують артеріальний тиск (наприклад, </w:t>
      </w:r>
      <w:r w:rsidRPr="00FC2FB3">
        <w:rPr>
          <w:lang w:val="uk-UA"/>
        </w:rPr>
        <w:lastRenderedPageBreak/>
        <w:t xml:space="preserve">амлодипіну) або впливають на РААС (наприклад, БРА або іАПФ). </w:t>
      </w:r>
      <w:r w:rsidRPr="00FC2FB3">
        <w:t>Комбінація таких препаратів може призвести до адитивної гіпотензивної дії або порушення функції нирок.</w:t>
      </w:r>
    </w:p>
    <w:p w14:paraId="48C4FB22" w14:textId="21C03F0F" w:rsidR="00023ABC" w:rsidRPr="00FC2FB3" w:rsidRDefault="00FD4908" w:rsidP="00FD4908">
      <w:pPr>
        <w:ind w:firstLine="567"/>
        <w:jc w:val="both"/>
        <w:rPr>
          <w:szCs w:val="22"/>
        </w:rPr>
      </w:pPr>
      <w:r w:rsidRPr="00FC2FB3">
        <w:t xml:space="preserve">При супутній терапії з амлодипіном у рекомендованій дозі для зниження рівня протеїнурії, пов’язаного з хронічною хворобою нирок (ХХН) у </w:t>
      </w:r>
      <w:r w:rsidRPr="00FC2FB3">
        <w:rPr>
          <w:lang w:val="uk-UA"/>
        </w:rPr>
        <w:t>котів</w:t>
      </w:r>
      <w:r w:rsidRPr="00FC2FB3">
        <w:t>, клінічних проявів гіпотензії не спостерігалося.</w:t>
      </w:r>
      <w:r w:rsidR="00023ABC" w:rsidRPr="00FC2FB3">
        <w:t xml:space="preserve"> </w:t>
      </w:r>
    </w:p>
    <w:p w14:paraId="458432C4" w14:textId="77777777" w:rsidR="00A24AF9" w:rsidRPr="00FC2FB3" w:rsidRDefault="00A24AF9" w:rsidP="00C025B4">
      <w:pPr>
        <w:widowControl w:val="0"/>
        <w:tabs>
          <w:tab w:val="left" w:pos="0"/>
        </w:tabs>
        <w:ind w:firstLine="567"/>
        <w:jc w:val="both"/>
        <w:rPr>
          <w:b/>
          <w:snapToGrid w:val="0"/>
        </w:rPr>
      </w:pPr>
      <w:r w:rsidRPr="00FC2FB3">
        <w:rPr>
          <w:b/>
          <w:snapToGrid w:val="0"/>
        </w:rPr>
        <w:t>5.</w:t>
      </w:r>
      <w:r w:rsidR="000C749F" w:rsidRPr="00FC2FB3">
        <w:rPr>
          <w:b/>
          <w:snapToGrid w:val="0"/>
          <w:lang w:val="uk-UA"/>
        </w:rPr>
        <w:t>8</w:t>
      </w:r>
      <w:r w:rsidRPr="00FC2FB3">
        <w:rPr>
          <w:b/>
          <w:snapToGrid w:val="0"/>
        </w:rPr>
        <w:t xml:space="preserve"> Дози і способи введення тваринам різного віку</w:t>
      </w:r>
    </w:p>
    <w:p w14:paraId="4142E691" w14:textId="77777777" w:rsidR="00FD4908" w:rsidRPr="00FC2FB3" w:rsidRDefault="00FD4908" w:rsidP="00FD4908">
      <w:pPr>
        <w:ind w:firstLine="567"/>
        <w:jc w:val="both"/>
      </w:pPr>
      <w:r w:rsidRPr="00FC2FB3">
        <w:t>Призначений для перорального застосування.</w:t>
      </w:r>
    </w:p>
    <w:p w14:paraId="3E942729" w14:textId="77777777" w:rsidR="00FD4908" w:rsidRPr="00FC2FB3" w:rsidRDefault="00FD4908" w:rsidP="00FD4908">
      <w:pPr>
        <w:ind w:firstLine="567"/>
        <w:jc w:val="both"/>
      </w:pPr>
      <w:r w:rsidRPr="00FC2FB3">
        <w:t xml:space="preserve">Препарат застосовують один раз на добу із введенням безпосередньо в ротову порожнину або з невеликою кількістю корму. </w:t>
      </w:r>
    </w:p>
    <w:p w14:paraId="54AF2B9B" w14:textId="77777777" w:rsidR="00FD4908" w:rsidRPr="00FC2FB3" w:rsidRDefault="00FD4908" w:rsidP="00FD4908">
      <w:pPr>
        <w:ind w:firstLine="567"/>
        <w:jc w:val="both"/>
        <w:rPr>
          <w:szCs w:val="22"/>
        </w:rPr>
      </w:pPr>
      <w:r w:rsidRPr="00FC2FB3">
        <w:t>Ветеринарний лікарський засіб являє собою розчин для перорального застосування, який добре сприймається більшістю котів.</w:t>
      </w:r>
    </w:p>
    <w:p w14:paraId="5F28BFBC" w14:textId="77777777" w:rsidR="00FD4908" w:rsidRPr="00FC2FB3" w:rsidRDefault="00FD4908" w:rsidP="00FD4908">
      <w:pPr>
        <w:ind w:firstLine="567"/>
        <w:jc w:val="both"/>
      </w:pPr>
      <w:r w:rsidRPr="00FC2FB3">
        <w:t>Розчин слід вводити за допомогою шприца-дозатора, який міститься в упаковці. Шприц-дозатор вставляється у флакон та має градуювання в мл.</w:t>
      </w:r>
    </w:p>
    <w:p w14:paraId="395074C0" w14:textId="77777777" w:rsidR="00FD4908" w:rsidRPr="00FC2FB3" w:rsidRDefault="00FD4908" w:rsidP="00FD4908">
      <w:pPr>
        <w:ind w:firstLine="567"/>
        <w:jc w:val="both"/>
        <w:rPr>
          <w:iCs/>
        </w:rPr>
      </w:pPr>
      <w:r w:rsidRPr="00FC2FB3">
        <w:t>Після введення ветеринарного лікарського засобу флакон слід щільно закрити, промити шприц-дозатор водою та дати йому висохнути.</w:t>
      </w:r>
    </w:p>
    <w:p w14:paraId="5E9BC157" w14:textId="77777777" w:rsidR="00FD4908" w:rsidRPr="00FC2FB3" w:rsidRDefault="00FD4908" w:rsidP="00FD4908">
      <w:pPr>
        <w:ind w:firstLine="567"/>
        <w:jc w:val="both"/>
        <w:rPr>
          <w:iCs/>
        </w:rPr>
      </w:pPr>
      <w:r w:rsidRPr="00FC2FB3">
        <w:t>Щоб уникнути забруднення, використовуйте для введення ветеринарного лікарського засобу тільки шприц-дозатор з упаковки.</w:t>
      </w:r>
    </w:p>
    <w:p w14:paraId="18550D69" w14:textId="77777777" w:rsidR="00FD4908" w:rsidRPr="00FC2FB3" w:rsidRDefault="00FD4908" w:rsidP="00FD4908">
      <w:pPr>
        <w:ind w:firstLine="567"/>
        <w:rPr>
          <w:iCs/>
        </w:rPr>
      </w:pPr>
      <w:r w:rsidRPr="00FC2FB3">
        <w:rPr>
          <w:b/>
          <w:bCs/>
          <w:iCs/>
        </w:rPr>
        <w:t>ХХН</w:t>
      </w:r>
      <w:r w:rsidRPr="00FC2FB3">
        <w:t xml:space="preserve"> — </w:t>
      </w:r>
      <w:r w:rsidRPr="00FC2FB3">
        <w:rPr>
          <w:lang w:val="uk-UA"/>
        </w:rPr>
        <w:t>доза</w:t>
      </w:r>
      <w:r w:rsidRPr="00FC2FB3">
        <w:t xml:space="preserve"> </w:t>
      </w:r>
      <w:r w:rsidRPr="00FC2FB3">
        <w:rPr>
          <w:lang w:val="uk-UA"/>
        </w:rPr>
        <w:t xml:space="preserve">препарату </w:t>
      </w:r>
      <w:r w:rsidRPr="00FC2FB3">
        <w:t>для введення один раз на добу:</w:t>
      </w:r>
    </w:p>
    <w:p w14:paraId="11F030B7" w14:textId="77777777" w:rsidR="00FD4908" w:rsidRPr="00FC2FB3" w:rsidRDefault="00FD4908" w:rsidP="00FD4908">
      <w:pPr>
        <w:ind w:firstLine="567"/>
        <w:rPr>
          <w:iCs/>
        </w:rPr>
      </w:pPr>
      <w:r w:rsidRPr="00FC2FB3">
        <w:t>Рекомендована доза становить 1 мг телмісартану/кг маси тіла</w:t>
      </w:r>
      <w:r w:rsidRPr="00FC2FB3">
        <w:rPr>
          <w:lang w:val="uk-UA"/>
        </w:rPr>
        <w:t xml:space="preserve"> тварини</w:t>
      </w:r>
      <w:r w:rsidRPr="00FC2FB3">
        <w:t>.</w:t>
      </w:r>
    </w:p>
    <w:tbl>
      <w:tblPr>
        <w:tblpPr w:leftFromText="180" w:rightFromText="180" w:vertAnchor="text" w:horzAnchor="margin" w:tblpXSpec="center"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D53A7F" w:rsidRPr="00FC2FB3" w14:paraId="28B780E8" w14:textId="77777777" w:rsidTr="00FE43A8">
        <w:tc>
          <w:tcPr>
            <w:tcW w:w="9061" w:type="dxa"/>
            <w:gridSpan w:val="2"/>
            <w:shd w:val="clear" w:color="auto" w:fill="auto"/>
          </w:tcPr>
          <w:p w14:paraId="46899F77" w14:textId="77777777" w:rsidR="00FD4908" w:rsidRPr="00FC2FB3" w:rsidRDefault="00FD4908" w:rsidP="00FE43A8">
            <w:pPr>
              <w:jc w:val="center"/>
            </w:pPr>
            <w:r w:rsidRPr="00FC2FB3">
              <w:t>Дозування: 1 мг телмісартану/кг маси тіла</w:t>
            </w:r>
          </w:p>
        </w:tc>
      </w:tr>
      <w:tr w:rsidR="00D53A7F" w:rsidRPr="00FC2FB3" w14:paraId="5CBC8E19" w14:textId="77777777" w:rsidTr="00FE43A8">
        <w:tc>
          <w:tcPr>
            <w:tcW w:w="4530" w:type="dxa"/>
            <w:shd w:val="clear" w:color="auto" w:fill="auto"/>
          </w:tcPr>
          <w:p w14:paraId="22D9149B" w14:textId="77777777" w:rsidR="00FD4908" w:rsidRPr="00FC2FB3" w:rsidRDefault="00FD4908" w:rsidP="00FE43A8">
            <w:r w:rsidRPr="00FC2FB3">
              <w:rPr>
                <w:lang w:val="uk-UA"/>
              </w:rPr>
              <w:t>Вміст діючої речовини</w:t>
            </w:r>
            <w:r w:rsidRPr="00FC2FB3">
              <w:t xml:space="preserve"> [мг/мл]</w:t>
            </w:r>
          </w:p>
        </w:tc>
        <w:tc>
          <w:tcPr>
            <w:tcW w:w="4531" w:type="dxa"/>
            <w:shd w:val="clear" w:color="auto" w:fill="auto"/>
          </w:tcPr>
          <w:p w14:paraId="7CF84D5B" w14:textId="77777777" w:rsidR="00FD4908" w:rsidRPr="00FC2FB3" w:rsidRDefault="00FD4908" w:rsidP="00FE43A8">
            <w:r w:rsidRPr="00FC2FB3">
              <w:t>Доза/кг маси тіла [мл]</w:t>
            </w:r>
          </w:p>
        </w:tc>
      </w:tr>
      <w:tr w:rsidR="00D53A7F" w:rsidRPr="00FC2FB3" w14:paraId="5C5F3E5E" w14:textId="77777777" w:rsidTr="00FE43A8">
        <w:tc>
          <w:tcPr>
            <w:tcW w:w="4530" w:type="dxa"/>
            <w:shd w:val="clear" w:color="auto" w:fill="auto"/>
          </w:tcPr>
          <w:p w14:paraId="48A4409B" w14:textId="77777777" w:rsidR="00FD4908" w:rsidRPr="00FC2FB3" w:rsidRDefault="00FD4908" w:rsidP="00FE43A8">
            <w:r w:rsidRPr="00FC2FB3">
              <w:t>4</w:t>
            </w:r>
          </w:p>
        </w:tc>
        <w:tc>
          <w:tcPr>
            <w:tcW w:w="4531" w:type="dxa"/>
            <w:shd w:val="clear" w:color="auto" w:fill="auto"/>
          </w:tcPr>
          <w:p w14:paraId="604F46E2" w14:textId="77777777" w:rsidR="00FD4908" w:rsidRPr="00FC2FB3" w:rsidRDefault="00FD4908" w:rsidP="00FE43A8">
            <w:r w:rsidRPr="00FC2FB3">
              <w:t>0,25</w:t>
            </w:r>
          </w:p>
        </w:tc>
      </w:tr>
    </w:tbl>
    <w:p w14:paraId="4CE87610" w14:textId="77777777" w:rsidR="00FD4908" w:rsidRPr="00FC2FB3" w:rsidRDefault="00FD4908" w:rsidP="00FD4908">
      <w:pPr>
        <w:rPr>
          <w:b/>
          <w:bCs/>
          <w:iCs/>
        </w:rPr>
      </w:pPr>
    </w:p>
    <w:p w14:paraId="0D061C75" w14:textId="77777777" w:rsidR="00FD4908" w:rsidRPr="00FC2FB3" w:rsidRDefault="00FD4908" w:rsidP="00FD4908">
      <w:pPr>
        <w:rPr>
          <w:iCs/>
        </w:rPr>
      </w:pPr>
    </w:p>
    <w:p w14:paraId="3E7E6369" w14:textId="77777777" w:rsidR="00FD4908" w:rsidRPr="00FC2FB3" w:rsidRDefault="00FD4908" w:rsidP="00FD4908">
      <w:pPr>
        <w:ind w:firstLine="567"/>
        <w:rPr>
          <w:iCs/>
        </w:rPr>
      </w:pPr>
      <w:r w:rsidRPr="00FC2FB3">
        <w:rPr>
          <w:b/>
          <w:bCs/>
          <w:iCs/>
        </w:rPr>
        <w:t>Системна гіпертензія</w:t>
      </w:r>
      <w:r w:rsidRPr="00FC2FB3">
        <w:t xml:space="preserve"> — </w:t>
      </w:r>
      <w:r w:rsidRPr="00FC2FB3">
        <w:rPr>
          <w:lang w:val="uk-UA"/>
        </w:rPr>
        <w:t>доза</w:t>
      </w:r>
      <w:r w:rsidRPr="00FC2FB3">
        <w:t xml:space="preserve"> </w:t>
      </w:r>
      <w:r w:rsidRPr="00FC2FB3">
        <w:rPr>
          <w:lang w:val="uk-UA"/>
        </w:rPr>
        <w:t>препарату</w:t>
      </w:r>
      <w:r w:rsidRPr="00FC2FB3">
        <w:t xml:space="preserve"> для введення один раз на добу:</w:t>
      </w:r>
    </w:p>
    <w:p w14:paraId="11B881BF" w14:textId="77777777" w:rsidR="00FD4908" w:rsidRPr="00FC2FB3" w:rsidRDefault="00FD4908" w:rsidP="00FD4908">
      <w:pPr>
        <w:ind w:firstLine="567"/>
      </w:pPr>
      <w:r w:rsidRPr="00FC2FB3">
        <w:t>Рекомендована початкова доза становить 2 мг телмісартану/кг маси тіла.</w:t>
      </w:r>
    </w:p>
    <w:p w14:paraId="6E56449D" w14:textId="77777777" w:rsidR="00FD4908" w:rsidRPr="00FC2FB3" w:rsidRDefault="00FD4908" w:rsidP="00FD4908"/>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D53A7F" w:rsidRPr="00FC2FB3" w14:paraId="71E9DE2E" w14:textId="77777777" w:rsidTr="00FE43A8">
        <w:tc>
          <w:tcPr>
            <w:tcW w:w="9061" w:type="dxa"/>
            <w:gridSpan w:val="2"/>
            <w:shd w:val="clear" w:color="auto" w:fill="auto"/>
          </w:tcPr>
          <w:p w14:paraId="7E933F21" w14:textId="77777777" w:rsidR="00FD4908" w:rsidRPr="00FC2FB3" w:rsidRDefault="00FD4908" w:rsidP="00FE43A8">
            <w:pPr>
              <w:jc w:val="center"/>
            </w:pPr>
            <w:r w:rsidRPr="00FC2FB3">
              <w:t>Дозування: 2 мг телмісартану/кг маси тіла</w:t>
            </w:r>
          </w:p>
        </w:tc>
      </w:tr>
      <w:tr w:rsidR="00D53A7F" w:rsidRPr="00FC2FB3" w14:paraId="3BBE8FA7" w14:textId="77777777" w:rsidTr="00FE43A8">
        <w:tc>
          <w:tcPr>
            <w:tcW w:w="4530" w:type="dxa"/>
            <w:shd w:val="clear" w:color="auto" w:fill="auto"/>
          </w:tcPr>
          <w:p w14:paraId="33FD7B08" w14:textId="77777777" w:rsidR="00FD4908" w:rsidRPr="00FC2FB3" w:rsidRDefault="00FD4908" w:rsidP="00FE43A8">
            <w:r w:rsidRPr="00FC2FB3">
              <w:t>Вміст діючої речовини [мг/мл]</w:t>
            </w:r>
          </w:p>
        </w:tc>
        <w:tc>
          <w:tcPr>
            <w:tcW w:w="4531" w:type="dxa"/>
            <w:shd w:val="clear" w:color="auto" w:fill="auto"/>
          </w:tcPr>
          <w:p w14:paraId="1E65A02D" w14:textId="77777777" w:rsidR="00FD4908" w:rsidRPr="00FC2FB3" w:rsidRDefault="00FD4908" w:rsidP="00FE43A8">
            <w:r w:rsidRPr="00FC2FB3">
              <w:t>Доза/кг маси тіла [мл]</w:t>
            </w:r>
          </w:p>
        </w:tc>
      </w:tr>
      <w:tr w:rsidR="00D53A7F" w:rsidRPr="00FC2FB3" w14:paraId="1816D6D8" w14:textId="77777777" w:rsidTr="00FE43A8">
        <w:tc>
          <w:tcPr>
            <w:tcW w:w="4530" w:type="dxa"/>
            <w:shd w:val="clear" w:color="auto" w:fill="auto"/>
          </w:tcPr>
          <w:p w14:paraId="1899C114" w14:textId="77777777" w:rsidR="00FD4908" w:rsidRPr="00FC2FB3" w:rsidRDefault="00FD4908" w:rsidP="00FE43A8">
            <w:r w:rsidRPr="00FC2FB3">
              <w:t>4</w:t>
            </w:r>
          </w:p>
        </w:tc>
        <w:tc>
          <w:tcPr>
            <w:tcW w:w="4531" w:type="dxa"/>
            <w:shd w:val="clear" w:color="auto" w:fill="auto"/>
          </w:tcPr>
          <w:p w14:paraId="5D90D3B6" w14:textId="77777777" w:rsidR="00FD4908" w:rsidRPr="00FC2FB3" w:rsidRDefault="00FD4908" w:rsidP="00FE43A8">
            <w:r w:rsidRPr="00FC2FB3">
              <w:t>0,5</w:t>
            </w:r>
          </w:p>
        </w:tc>
      </w:tr>
    </w:tbl>
    <w:p w14:paraId="3F3CDB42" w14:textId="77777777" w:rsidR="00FD4908" w:rsidRPr="00FC2FB3" w:rsidRDefault="00FD4908" w:rsidP="00FD4908"/>
    <w:p w14:paraId="1CB4550F" w14:textId="347EFC74" w:rsidR="00FD4908" w:rsidRPr="00FC2FB3" w:rsidRDefault="00FD4908" w:rsidP="00FD4908">
      <w:pPr>
        <w:ind w:firstLine="567"/>
        <w:jc w:val="both"/>
      </w:pPr>
      <w:r w:rsidRPr="00FC2FB3">
        <w:t xml:space="preserve">Через 4 тижні дозу телмісартану можна знизити на розсуд </w:t>
      </w:r>
      <w:r w:rsidRPr="00FC2FB3">
        <w:rPr>
          <w:lang w:val="uk-UA"/>
        </w:rPr>
        <w:t>лікаря ветеринарної медицини</w:t>
      </w:r>
      <w:r w:rsidRPr="00FC2FB3">
        <w:t xml:space="preserve"> </w:t>
      </w:r>
      <w:r w:rsidRPr="00FC2FB3">
        <w:rPr>
          <w:lang w:val="uk-UA"/>
        </w:rPr>
        <w:t xml:space="preserve"> Що означає – котам</w:t>
      </w:r>
      <w:r w:rsidRPr="00FC2FB3">
        <w:t xml:space="preserve"> із систолічним артеріальним тиском (САТ) менше</w:t>
      </w:r>
      <w:r w:rsidRPr="00FC2FB3">
        <w:rPr>
          <w:lang w:val="uk-UA"/>
        </w:rPr>
        <w:t>,</w:t>
      </w:r>
      <w:r w:rsidRPr="00FC2FB3">
        <w:t xml:space="preserve"> ніж 140 мм рт.ст. (</w:t>
      </w:r>
      <w:r w:rsidR="00AA46BB" w:rsidRPr="00FC2FB3">
        <w:t>зменшення дозування на</w:t>
      </w:r>
      <w:r w:rsidR="00D53A7F" w:rsidRPr="00FC2FB3">
        <w:rPr>
          <w:lang w:val="uk-UA"/>
        </w:rPr>
        <w:t xml:space="preserve"> </w:t>
      </w:r>
      <w:r w:rsidRPr="00FC2FB3">
        <w:t>0,5</w:t>
      </w:r>
      <w:r w:rsidRPr="00FC2FB3">
        <w:rPr>
          <w:lang w:val="uk-UA"/>
        </w:rPr>
        <w:t xml:space="preserve"> </w:t>
      </w:r>
      <w:r w:rsidRPr="00FC2FB3">
        <w:t>мг/кг).</w:t>
      </w:r>
    </w:p>
    <w:p w14:paraId="4D2FF15F" w14:textId="77777777" w:rsidR="00FD4908" w:rsidRPr="00FC2FB3" w:rsidRDefault="00FD4908" w:rsidP="00FD4908">
      <w:pPr>
        <w:ind w:firstLine="567"/>
        <w:jc w:val="both"/>
      </w:pPr>
      <w:r w:rsidRPr="00FC2FB3">
        <w:t>Якщо перебіг захворювання супроводжується збільшенням САТ, добову дозу можна збільшити до 2</w:t>
      </w:r>
      <w:r w:rsidRPr="00FC2FB3">
        <w:rPr>
          <w:lang w:val="uk-UA"/>
        </w:rPr>
        <w:t xml:space="preserve"> </w:t>
      </w:r>
      <w:r w:rsidRPr="00FC2FB3">
        <w:t xml:space="preserve">мг/кг. </w:t>
      </w:r>
    </w:p>
    <w:p w14:paraId="434BA9F2" w14:textId="77777777" w:rsidR="00FD4908" w:rsidRPr="00FC2FB3" w:rsidRDefault="00FD4908" w:rsidP="00FD4908">
      <w:pPr>
        <w:ind w:firstLine="567"/>
        <w:jc w:val="both"/>
      </w:pPr>
      <w:r w:rsidRPr="00FC2FB3">
        <w:rPr>
          <w:lang w:val="uk-UA"/>
        </w:rPr>
        <w:t>Фізіологічний</w:t>
      </w:r>
      <w:r w:rsidRPr="00FC2FB3">
        <w:t xml:space="preserve"> діапазон САТ становить від 120 до 140</w:t>
      </w:r>
      <w:r w:rsidRPr="00FC2FB3">
        <w:rPr>
          <w:lang w:val="uk-UA"/>
        </w:rPr>
        <w:t xml:space="preserve"> </w:t>
      </w:r>
      <w:r w:rsidRPr="00FC2FB3">
        <w:t xml:space="preserve">мм рт.ст. Якщо САТ нижче </w:t>
      </w:r>
      <w:r w:rsidRPr="00FC2FB3">
        <w:rPr>
          <w:lang w:val="uk-UA"/>
        </w:rPr>
        <w:t>фізіологічного</w:t>
      </w:r>
      <w:r w:rsidRPr="00FC2FB3">
        <w:t xml:space="preserve"> значення або наявні супутні ознаки гіпотензії</w:t>
      </w:r>
      <w:r w:rsidRPr="00FC2FB3">
        <w:rPr>
          <w:lang w:val="uk-UA"/>
        </w:rPr>
        <w:t xml:space="preserve"> </w:t>
      </w:r>
      <w:r w:rsidRPr="00FC2FB3">
        <w:t>див. розділ 5.5.</w:t>
      </w:r>
    </w:p>
    <w:p w14:paraId="0815F69F" w14:textId="48C379FC" w:rsidR="00C025B4" w:rsidRPr="00FC2FB3" w:rsidRDefault="00FD4908" w:rsidP="00FD4908">
      <w:pPr>
        <w:ind w:firstLine="567"/>
        <w:jc w:val="both"/>
        <w:rPr>
          <w:bCs/>
        </w:rPr>
      </w:pPr>
      <w:r w:rsidRPr="00FC2FB3">
        <w:rPr>
          <w:b/>
          <w:bCs/>
          <w:iCs/>
        </w:rPr>
        <w:t>Системна гіпертензія, пов’язана з ХХН</w:t>
      </w:r>
      <w:r w:rsidRPr="00FC2FB3">
        <w:rPr>
          <w:lang w:val="uk-UA"/>
        </w:rPr>
        <w:t xml:space="preserve">: </w:t>
      </w:r>
      <w:r w:rsidRPr="00FC2FB3">
        <w:t xml:space="preserve">дозування для </w:t>
      </w:r>
      <w:r w:rsidRPr="00FC2FB3">
        <w:rPr>
          <w:lang w:val="uk-UA"/>
        </w:rPr>
        <w:t>котів</w:t>
      </w:r>
      <w:r w:rsidRPr="00FC2FB3">
        <w:t xml:space="preserve"> з гіпертензією та супутньою хронічною хворобою нирок така сама, як описано вище для лікування системної гіпертензії, за винятком того, що для цих </w:t>
      </w:r>
      <w:r w:rsidRPr="00FC2FB3">
        <w:rPr>
          <w:lang w:val="uk-UA"/>
        </w:rPr>
        <w:t xml:space="preserve">тварин </w:t>
      </w:r>
      <w:r w:rsidRPr="00FC2FB3">
        <w:t>рекомендована мінімальна ефективна доза становить 1 мг/кг.</w:t>
      </w:r>
    </w:p>
    <w:p w14:paraId="3ECC1942" w14:textId="77777777" w:rsidR="000C749F" w:rsidRPr="00FC2FB3" w:rsidRDefault="00A24AF9" w:rsidP="00C025B4">
      <w:pPr>
        <w:widowControl w:val="0"/>
        <w:tabs>
          <w:tab w:val="left" w:pos="0"/>
        </w:tabs>
        <w:ind w:firstLine="567"/>
        <w:jc w:val="both"/>
        <w:rPr>
          <w:b/>
          <w:snapToGrid w:val="0"/>
          <w:lang w:val="uk-UA"/>
        </w:rPr>
      </w:pPr>
      <w:r w:rsidRPr="00FC2FB3">
        <w:rPr>
          <w:b/>
          <w:snapToGrid w:val="0"/>
        </w:rPr>
        <w:t>5.</w:t>
      </w:r>
      <w:r w:rsidR="000C749F" w:rsidRPr="00FC2FB3">
        <w:rPr>
          <w:b/>
          <w:snapToGrid w:val="0"/>
          <w:lang w:val="uk-UA"/>
        </w:rPr>
        <w:t>9</w:t>
      </w:r>
      <w:r w:rsidRPr="00FC2FB3">
        <w:rPr>
          <w:b/>
          <w:snapToGrid w:val="0"/>
        </w:rPr>
        <w:t xml:space="preserve"> Передозування (симптоми, невідкладні заходи, антидоти)</w:t>
      </w:r>
    </w:p>
    <w:p w14:paraId="7FB248A5" w14:textId="77777777" w:rsidR="00FD4908" w:rsidRPr="00FC2FB3" w:rsidRDefault="00FD4908" w:rsidP="00FD4908">
      <w:pPr>
        <w:ind w:firstLine="567"/>
        <w:jc w:val="both"/>
        <w:rPr>
          <w:lang w:val="uk-UA"/>
        </w:rPr>
      </w:pPr>
      <w:r w:rsidRPr="00FC2FB3">
        <w:rPr>
          <w:lang w:val="uk-UA"/>
        </w:rPr>
        <w:t>Після застосування препарату в дозі до 5 мг/кг маси тіла протягом 6 місяців молодим дорослим здоровим котам побічні реакції, що спостерігалися, відповідали наведеним у розділі 5.4.</w:t>
      </w:r>
    </w:p>
    <w:p w14:paraId="7599D507" w14:textId="77777777" w:rsidR="00FD4908" w:rsidRPr="00FC2FB3" w:rsidRDefault="00FD4908" w:rsidP="00FD4908">
      <w:pPr>
        <w:widowControl w:val="0"/>
        <w:autoSpaceDE w:val="0"/>
        <w:autoSpaceDN w:val="0"/>
        <w:adjustRightInd w:val="0"/>
        <w:ind w:firstLine="567"/>
        <w:jc w:val="both"/>
        <w:rPr>
          <w:rFonts w:cs="TimesNewRoman"/>
          <w:lang w:val="uk-UA"/>
        </w:rPr>
      </w:pPr>
      <w:r w:rsidRPr="00FC2FB3">
        <w:rPr>
          <w:lang w:val="uk-UA"/>
        </w:rPr>
        <w:t>Застосування препарату в передозуванні (до 5 мг/кг маси тіла протягом 6 місяців) призводило до вираженого зниження артеріального тиску, зменшення кількості еритроцитів у крові (ефекти, пов’язані з фармакологічною активністю препарату) та підвищення рівня азоту сечовини крові (</w:t>
      </w:r>
      <w:r w:rsidRPr="00FC2FB3">
        <w:t>BUN</w:t>
      </w:r>
      <w:r w:rsidRPr="00FC2FB3">
        <w:rPr>
          <w:lang w:val="uk-UA"/>
        </w:rPr>
        <w:t>).</w:t>
      </w:r>
    </w:p>
    <w:p w14:paraId="79521D20" w14:textId="298E6DBF" w:rsidR="00D3641A" w:rsidRPr="00FC2FB3" w:rsidRDefault="00FD4908" w:rsidP="00FD4908">
      <w:pPr>
        <w:autoSpaceDE w:val="0"/>
        <w:autoSpaceDN w:val="0"/>
        <w:adjustRightInd w:val="0"/>
        <w:ind w:firstLine="567"/>
        <w:jc w:val="both"/>
        <w:rPr>
          <w:rFonts w:cs="TimesNewRoman"/>
        </w:rPr>
      </w:pPr>
      <w:r w:rsidRPr="00FC2FB3">
        <w:t>У разі виникнення гіпотензії необхідно проводити симптоматичне лікування, наприклад, призначити інфузійну терапію.</w:t>
      </w:r>
    </w:p>
    <w:p w14:paraId="7490A059" w14:textId="77777777" w:rsidR="000C749F" w:rsidRPr="00FC2FB3" w:rsidRDefault="00A24AF9" w:rsidP="00C025B4">
      <w:pPr>
        <w:widowControl w:val="0"/>
        <w:tabs>
          <w:tab w:val="left" w:pos="0"/>
        </w:tabs>
        <w:ind w:firstLine="567"/>
        <w:jc w:val="both"/>
        <w:rPr>
          <w:b/>
          <w:snapToGrid w:val="0"/>
          <w:lang w:val="uk-UA"/>
        </w:rPr>
      </w:pPr>
      <w:r w:rsidRPr="00FC2FB3">
        <w:rPr>
          <w:b/>
          <w:snapToGrid w:val="0"/>
          <w:lang w:val="uk-UA"/>
        </w:rPr>
        <w:t>5.</w:t>
      </w:r>
      <w:r w:rsidR="000C749F" w:rsidRPr="00FC2FB3">
        <w:rPr>
          <w:b/>
          <w:snapToGrid w:val="0"/>
          <w:lang w:val="uk-UA"/>
        </w:rPr>
        <w:t>10</w:t>
      </w:r>
      <w:r w:rsidRPr="00FC2FB3">
        <w:rPr>
          <w:b/>
          <w:snapToGrid w:val="0"/>
          <w:lang w:val="uk-UA"/>
        </w:rPr>
        <w:t xml:space="preserve"> Спеціальні застереження</w:t>
      </w:r>
    </w:p>
    <w:p w14:paraId="08D7D669" w14:textId="74A86A7F" w:rsidR="00C025B4" w:rsidRPr="00FC2FB3" w:rsidRDefault="00C025B4" w:rsidP="00C025B4">
      <w:pPr>
        <w:ind w:firstLine="567"/>
        <w:jc w:val="both"/>
        <w:rPr>
          <w:lang w:val="uk-UA"/>
        </w:rPr>
      </w:pPr>
      <w:r w:rsidRPr="00FC2FB3">
        <w:rPr>
          <w:lang w:val="uk-UA"/>
        </w:rPr>
        <w:t>Безпе</w:t>
      </w:r>
      <w:r w:rsidR="00A57DA0" w:rsidRPr="00FC2FB3">
        <w:rPr>
          <w:lang w:val="uk-UA"/>
        </w:rPr>
        <w:t>чність</w:t>
      </w:r>
      <w:r w:rsidRPr="00FC2FB3">
        <w:rPr>
          <w:lang w:val="uk-UA"/>
        </w:rPr>
        <w:t xml:space="preserve"> та ефективність телмісартану для лікування системної гіпертензії вище 200</w:t>
      </w:r>
      <w:r w:rsidRPr="00FC2FB3">
        <w:t> </w:t>
      </w:r>
      <w:r w:rsidRPr="00FC2FB3">
        <w:rPr>
          <w:lang w:val="uk-UA"/>
        </w:rPr>
        <w:t>мм рт. ст. не вивчалася.</w:t>
      </w:r>
    </w:p>
    <w:p w14:paraId="2B3296EE" w14:textId="77777777" w:rsidR="000C749F" w:rsidRPr="00FC2FB3" w:rsidRDefault="00A24AF9" w:rsidP="00C025B4">
      <w:pPr>
        <w:widowControl w:val="0"/>
        <w:tabs>
          <w:tab w:val="left" w:pos="0"/>
        </w:tabs>
        <w:ind w:firstLine="567"/>
        <w:jc w:val="both"/>
        <w:rPr>
          <w:b/>
          <w:snapToGrid w:val="0"/>
          <w:lang w:val="uk-UA"/>
        </w:rPr>
      </w:pPr>
      <w:r w:rsidRPr="00FC2FB3">
        <w:rPr>
          <w:b/>
          <w:snapToGrid w:val="0"/>
          <w:lang w:val="uk-UA"/>
        </w:rPr>
        <w:t>5.1</w:t>
      </w:r>
      <w:r w:rsidR="000C749F" w:rsidRPr="00FC2FB3">
        <w:rPr>
          <w:b/>
          <w:snapToGrid w:val="0"/>
          <w:lang w:val="uk-UA"/>
        </w:rPr>
        <w:t>1</w:t>
      </w:r>
      <w:r w:rsidRPr="00FC2FB3">
        <w:rPr>
          <w:b/>
          <w:snapToGrid w:val="0"/>
          <w:lang w:val="uk-UA"/>
        </w:rPr>
        <w:t xml:space="preserve"> Період виведення (каренці</w:t>
      </w:r>
      <w:r w:rsidR="00D54393" w:rsidRPr="00FC2FB3">
        <w:rPr>
          <w:b/>
          <w:snapToGrid w:val="0"/>
          <w:lang w:val="uk-UA"/>
        </w:rPr>
        <w:t>я</w:t>
      </w:r>
      <w:r w:rsidRPr="00FC2FB3">
        <w:rPr>
          <w:b/>
          <w:snapToGrid w:val="0"/>
          <w:lang w:val="uk-UA"/>
        </w:rPr>
        <w:t>)</w:t>
      </w:r>
    </w:p>
    <w:p w14:paraId="3E2071D9" w14:textId="77777777" w:rsidR="009F163D" w:rsidRPr="00FC2FB3" w:rsidRDefault="009F163D" w:rsidP="009F163D">
      <w:pPr>
        <w:tabs>
          <w:tab w:val="left" w:pos="0"/>
        </w:tabs>
        <w:ind w:firstLine="567"/>
        <w:jc w:val="both"/>
        <w:rPr>
          <w:lang w:val="uk-UA"/>
        </w:rPr>
      </w:pPr>
      <w:r w:rsidRPr="00FC2FB3">
        <w:rPr>
          <w:lang w:val="uk-UA" w:eastAsia="uk-UA"/>
        </w:rPr>
        <w:t xml:space="preserve">Не визначається для непродуктивних тварин. </w:t>
      </w:r>
    </w:p>
    <w:p w14:paraId="5CC055E7" w14:textId="77777777" w:rsidR="002F5932" w:rsidRPr="00FC2FB3" w:rsidRDefault="00A24AF9" w:rsidP="00C025B4">
      <w:pPr>
        <w:tabs>
          <w:tab w:val="left" w:pos="0"/>
        </w:tabs>
        <w:ind w:firstLine="567"/>
        <w:jc w:val="both"/>
        <w:rPr>
          <w:b/>
          <w:lang w:val="uk-UA"/>
        </w:rPr>
      </w:pPr>
      <w:r w:rsidRPr="00FC2FB3">
        <w:rPr>
          <w:b/>
        </w:rPr>
        <w:t>5.1</w:t>
      </w:r>
      <w:r w:rsidR="005D6806" w:rsidRPr="00FC2FB3">
        <w:rPr>
          <w:b/>
          <w:lang w:val="uk-UA"/>
        </w:rPr>
        <w:t>2</w:t>
      </w:r>
      <w:r w:rsidRPr="00FC2FB3">
        <w:rPr>
          <w:b/>
        </w:rPr>
        <w:t xml:space="preserve"> Спеціальні застереження для осіб і обслуговуючого персоналу</w:t>
      </w:r>
    </w:p>
    <w:p w14:paraId="44B92800" w14:textId="3B1980F9" w:rsidR="00E34DED" w:rsidRPr="00FC2FB3" w:rsidRDefault="00E34DED" w:rsidP="00C025B4">
      <w:pPr>
        <w:pStyle w:val="a3"/>
        <w:ind w:firstLine="567"/>
        <w:rPr>
          <w:b w:val="0"/>
          <w:bCs/>
          <w:szCs w:val="22"/>
        </w:rPr>
      </w:pPr>
      <w:r w:rsidRPr="00FC2FB3">
        <w:rPr>
          <w:b w:val="0"/>
          <w:bCs/>
        </w:rPr>
        <w:t>У разі випадкового проковтування негайно зверніться за медичною допомогою і покажіть лікарю лист</w:t>
      </w:r>
      <w:r w:rsidR="00A57DA0" w:rsidRPr="00FC2FB3">
        <w:rPr>
          <w:b w:val="0"/>
          <w:bCs/>
        </w:rPr>
        <w:t>івку</w:t>
      </w:r>
      <w:r w:rsidRPr="00FC2FB3">
        <w:rPr>
          <w:b w:val="0"/>
          <w:bCs/>
        </w:rPr>
        <w:t>-вкладку.</w:t>
      </w:r>
    </w:p>
    <w:p w14:paraId="0E4059D3" w14:textId="77777777" w:rsidR="00E34DED" w:rsidRPr="00FC2FB3" w:rsidRDefault="00E34DED" w:rsidP="00C025B4">
      <w:pPr>
        <w:ind w:firstLine="567"/>
        <w:jc w:val="both"/>
        <w:rPr>
          <w:bCs/>
          <w:szCs w:val="22"/>
        </w:rPr>
      </w:pPr>
      <w:r w:rsidRPr="00FC2FB3">
        <w:t>Уникати потрапляння в очі. У разі випадкового потрапляння в очі слід промити очі достатньою кількістю води.</w:t>
      </w:r>
    </w:p>
    <w:p w14:paraId="55C2B49D" w14:textId="77777777" w:rsidR="00E34DED" w:rsidRPr="00FC2FB3" w:rsidRDefault="00E34DED" w:rsidP="00C025B4">
      <w:pPr>
        <w:ind w:firstLine="567"/>
        <w:jc w:val="both"/>
        <w:rPr>
          <w:bCs/>
          <w:szCs w:val="22"/>
        </w:rPr>
      </w:pPr>
      <w:r w:rsidRPr="00FC2FB3">
        <w:t>Мийте руки після використання.</w:t>
      </w:r>
    </w:p>
    <w:p w14:paraId="412E971B" w14:textId="534E8B3A" w:rsidR="00E34DED" w:rsidRPr="00FC2FB3" w:rsidRDefault="00E34DED" w:rsidP="00C025B4">
      <w:pPr>
        <w:ind w:firstLine="567"/>
        <w:jc w:val="both"/>
        <w:rPr>
          <w:rFonts w:cs="Arial"/>
        </w:rPr>
      </w:pPr>
      <w:r w:rsidRPr="00FC2FB3">
        <w:t>Вагітним жінкам слід уникати контакту з препаратом, оскільки встановлено, що речовини, які діють на РААС, такі як блокатори рецепторів ангіотензину (БРА) та інгібітори АПФ (іАПФ), можуть впливати на майбутню дитину у період вагітності у людей.</w:t>
      </w:r>
    </w:p>
    <w:p w14:paraId="3367ABBE" w14:textId="5E5C4645" w:rsidR="00E34DED" w:rsidRPr="00FC2FB3" w:rsidRDefault="00E34DED" w:rsidP="00C025B4">
      <w:pPr>
        <w:tabs>
          <w:tab w:val="left" w:pos="720"/>
        </w:tabs>
        <w:jc w:val="both"/>
        <w:rPr>
          <w:szCs w:val="22"/>
        </w:rPr>
      </w:pPr>
      <w:r w:rsidRPr="00FC2FB3">
        <w:tab/>
        <w:t>Людям з підвищеною чутливістю до телмісартану або інших сартанів/БРА слід уникати контакту з ветеринарним лікарським засобом.</w:t>
      </w:r>
    </w:p>
    <w:p w14:paraId="7D848146" w14:textId="77777777" w:rsidR="002F5932" w:rsidRPr="00FC2FB3" w:rsidRDefault="00A24AF9" w:rsidP="00E732EF">
      <w:pPr>
        <w:pStyle w:val="af"/>
        <w:tabs>
          <w:tab w:val="left" w:pos="0"/>
        </w:tabs>
        <w:ind w:left="0" w:firstLine="567"/>
        <w:contextualSpacing/>
        <w:jc w:val="both"/>
        <w:rPr>
          <w:b/>
          <w:snapToGrid w:val="0"/>
          <w:lang w:val="uk-UA"/>
        </w:rPr>
      </w:pPr>
      <w:r w:rsidRPr="00FC2FB3">
        <w:rPr>
          <w:b/>
          <w:snapToGrid w:val="0"/>
        </w:rPr>
        <w:t>6. Ф</w:t>
      </w:r>
      <w:r w:rsidR="00266902" w:rsidRPr="00FC2FB3">
        <w:rPr>
          <w:b/>
          <w:snapToGrid w:val="0"/>
          <w:lang w:val="uk-UA"/>
        </w:rPr>
        <w:t>армацевтичні особливості</w:t>
      </w:r>
    </w:p>
    <w:p w14:paraId="5F6056BC" w14:textId="77777777" w:rsidR="002F5932" w:rsidRPr="00FC2FB3" w:rsidRDefault="00A24AF9" w:rsidP="00C025B4">
      <w:pPr>
        <w:pStyle w:val="af"/>
        <w:tabs>
          <w:tab w:val="left" w:pos="0"/>
        </w:tabs>
        <w:spacing w:after="0"/>
        <w:ind w:left="0" w:firstLine="567"/>
        <w:contextualSpacing/>
        <w:jc w:val="both"/>
        <w:rPr>
          <w:b/>
          <w:lang w:val="uk-UA"/>
        </w:rPr>
      </w:pPr>
      <w:r w:rsidRPr="00FC2FB3">
        <w:rPr>
          <w:b/>
        </w:rPr>
        <w:t>6.1 Форми несумісності (основні)</w:t>
      </w:r>
    </w:p>
    <w:p w14:paraId="5B782890" w14:textId="77777777" w:rsidR="00D3641A" w:rsidRPr="00FC2FB3" w:rsidRDefault="00D3641A" w:rsidP="00C025B4">
      <w:pPr>
        <w:ind w:firstLine="567"/>
        <w:jc w:val="both"/>
        <w:rPr>
          <w:i/>
          <w:szCs w:val="22"/>
        </w:rPr>
      </w:pPr>
      <w:r w:rsidRPr="00FC2FB3">
        <w:t>Оскільки досліджень сумісності не проводили, не можна змішувати цей ветеринарний лікарський засіб з іншими ветеринарними засобами.</w:t>
      </w:r>
    </w:p>
    <w:p w14:paraId="05F3D229" w14:textId="77777777" w:rsidR="00BB2466" w:rsidRPr="00FC2FB3" w:rsidRDefault="00A620C1" w:rsidP="00BB2466">
      <w:pPr>
        <w:pStyle w:val="af"/>
        <w:tabs>
          <w:tab w:val="left" w:pos="0"/>
        </w:tabs>
        <w:ind w:left="0" w:firstLine="567"/>
        <w:contextualSpacing/>
        <w:jc w:val="both"/>
        <w:rPr>
          <w:b/>
          <w:snapToGrid w:val="0"/>
          <w:lang w:val="uk-UA"/>
        </w:rPr>
      </w:pPr>
      <w:r w:rsidRPr="00FC2FB3">
        <w:rPr>
          <w:b/>
          <w:snapToGrid w:val="0"/>
          <w:lang w:val="uk-UA"/>
        </w:rPr>
        <w:t>6.2 Термін придатності</w:t>
      </w:r>
    </w:p>
    <w:p w14:paraId="0829B01D" w14:textId="2FD610CC" w:rsidR="00A620C1" w:rsidRPr="00FC2FB3" w:rsidRDefault="00BB2466" w:rsidP="00BB2466">
      <w:pPr>
        <w:pStyle w:val="af"/>
        <w:tabs>
          <w:tab w:val="left" w:pos="0"/>
        </w:tabs>
        <w:spacing w:after="0"/>
        <w:ind w:left="0" w:firstLine="567"/>
        <w:contextualSpacing/>
        <w:jc w:val="both"/>
        <w:rPr>
          <w:b/>
          <w:snapToGrid w:val="0"/>
          <w:lang w:val="uk-UA"/>
        </w:rPr>
      </w:pPr>
      <w:bookmarkStart w:id="2" w:name="_Hlk150180421"/>
      <w:r w:rsidRPr="00FC2FB3">
        <w:t>Термін придатності ветеринарного лікарського засобу:</w:t>
      </w:r>
      <w:r w:rsidRPr="00FC2FB3">
        <w:rPr>
          <w:b/>
          <w:snapToGrid w:val="0"/>
          <w:lang w:val="uk-UA"/>
        </w:rPr>
        <w:t xml:space="preserve"> </w:t>
      </w:r>
      <w:r w:rsidR="00A620C1" w:rsidRPr="00FC2FB3">
        <w:rPr>
          <w:lang w:val="uk-UA"/>
        </w:rPr>
        <w:t>36 місяців.</w:t>
      </w:r>
    </w:p>
    <w:p w14:paraId="31D8967F" w14:textId="07AB5670" w:rsidR="00BB2466" w:rsidRPr="00FC2FB3" w:rsidRDefault="00BB2466" w:rsidP="00BB2466">
      <w:pPr>
        <w:ind w:firstLine="567"/>
      </w:pPr>
      <w:r w:rsidRPr="00FC2FB3">
        <w:t>Термін придатності після першого відкриття первинної упаковки: 6 місяців.</w:t>
      </w:r>
    </w:p>
    <w:bookmarkEnd w:id="2"/>
    <w:p w14:paraId="42560BF9" w14:textId="77777777" w:rsidR="00A620C1" w:rsidRPr="00FC2FB3" w:rsidRDefault="00A620C1" w:rsidP="00C025B4">
      <w:pPr>
        <w:pStyle w:val="af"/>
        <w:tabs>
          <w:tab w:val="left" w:pos="0"/>
        </w:tabs>
        <w:spacing w:after="0"/>
        <w:ind w:left="0" w:firstLine="567"/>
        <w:contextualSpacing/>
        <w:jc w:val="both"/>
        <w:rPr>
          <w:b/>
          <w:snapToGrid w:val="0"/>
          <w:lang w:val="uk-UA"/>
        </w:rPr>
      </w:pPr>
      <w:r w:rsidRPr="00FC2FB3">
        <w:rPr>
          <w:b/>
          <w:snapToGrid w:val="0"/>
          <w:lang w:val="uk-UA"/>
        </w:rPr>
        <w:t>6.3 Особливі заходи зберігання</w:t>
      </w:r>
    </w:p>
    <w:p w14:paraId="671249C5" w14:textId="472D6B6D" w:rsidR="00D3641A" w:rsidRPr="00FC2FB3" w:rsidRDefault="00D3641A" w:rsidP="009F4898">
      <w:pPr>
        <w:autoSpaceDE w:val="0"/>
        <w:autoSpaceDN w:val="0"/>
        <w:adjustRightInd w:val="0"/>
        <w:ind w:firstLine="567"/>
        <w:jc w:val="both"/>
        <w:rPr>
          <w:lang w:val="uk-UA"/>
        </w:rPr>
      </w:pPr>
      <w:bookmarkStart w:id="3" w:name="_Hlk145407652"/>
      <w:r w:rsidRPr="00FC2FB3">
        <w:t>.</w:t>
      </w:r>
    </w:p>
    <w:p w14:paraId="162F4C97" w14:textId="3CB767B7" w:rsidR="00795C53" w:rsidRPr="00FC2FB3" w:rsidRDefault="00795C53" w:rsidP="009F4898">
      <w:pPr>
        <w:autoSpaceDE w:val="0"/>
        <w:autoSpaceDN w:val="0"/>
        <w:adjustRightInd w:val="0"/>
        <w:ind w:firstLine="567"/>
        <w:jc w:val="both"/>
        <w:rPr>
          <w:lang w:val="uk-UA"/>
        </w:rPr>
      </w:pPr>
      <w:r w:rsidRPr="00FC2FB3">
        <w:rPr>
          <w:lang w:val="uk-UA"/>
        </w:rPr>
        <w:t>Зберігати ветеринарний лікарський засіб при температурі від 2 до 25 ºС.</w:t>
      </w:r>
    </w:p>
    <w:bookmarkEnd w:id="3"/>
    <w:p w14:paraId="3C38BCF1" w14:textId="77777777" w:rsidR="00206497" w:rsidRPr="00FC2FB3" w:rsidRDefault="00A24AF9" w:rsidP="00C025B4">
      <w:pPr>
        <w:pStyle w:val="af"/>
        <w:tabs>
          <w:tab w:val="left" w:pos="0"/>
        </w:tabs>
        <w:spacing w:after="0"/>
        <w:ind w:left="0" w:firstLine="567"/>
        <w:contextualSpacing/>
        <w:jc w:val="both"/>
        <w:rPr>
          <w:b/>
          <w:snapToGrid w:val="0"/>
          <w:lang w:val="uk-UA"/>
        </w:rPr>
      </w:pPr>
      <w:r w:rsidRPr="00FC2FB3">
        <w:rPr>
          <w:b/>
          <w:snapToGrid w:val="0"/>
        </w:rPr>
        <w:t>6.4 Природа і склад контейнера первинного пакування</w:t>
      </w:r>
      <w:bookmarkStart w:id="4" w:name="OLE_LINK110"/>
      <w:bookmarkStart w:id="5" w:name="OLE_LINK111"/>
    </w:p>
    <w:bookmarkEnd w:id="4"/>
    <w:bookmarkEnd w:id="5"/>
    <w:p w14:paraId="0321FBE1" w14:textId="77777777" w:rsidR="00D3641A" w:rsidRPr="00FC2FB3" w:rsidRDefault="00D3641A" w:rsidP="00C025B4">
      <w:pPr>
        <w:pStyle w:val="a3"/>
        <w:ind w:firstLine="567"/>
        <w:rPr>
          <w:b w:val="0"/>
          <w:bCs/>
          <w:szCs w:val="22"/>
        </w:rPr>
      </w:pPr>
      <w:r w:rsidRPr="00FC2FB3">
        <w:rPr>
          <w:b w:val="0"/>
          <w:bCs/>
        </w:rPr>
        <w:t>Кожен флакон закритий вставною пробкою з ПЕВЩ та кришкою з захистом від дітей з контролем першого розкривання.</w:t>
      </w:r>
    </w:p>
    <w:p w14:paraId="49C8902C" w14:textId="564F7933" w:rsidR="00D3641A" w:rsidRPr="00FC2FB3" w:rsidRDefault="00D3641A" w:rsidP="00C025B4">
      <w:pPr>
        <w:pStyle w:val="a3"/>
        <w:ind w:firstLine="567"/>
        <w:rPr>
          <w:b w:val="0"/>
          <w:bCs/>
          <w:szCs w:val="22"/>
        </w:rPr>
      </w:pPr>
      <w:r w:rsidRPr="00FC2FB3">
        <w:rPr>
          <w:b w:val="0"/>
          <w:bCs/>
        </w:rPr>
        <w:t>Розмір упаковки: по одному флакону 30 мл або 100 мл та одному шприцу-дозатору у картонній коробці.</w:t>
      </w:r>
    </w:p>
    <w:p w14:paraId="4F4A3733" w14:textId="25C47888" w:rsidR="00D3641A" w:rsidRPr="00FC2FB3" w:rsidRDefault="00D3641A" w:rsidP="00C025B4">
      <w:pPr>
        <w:ind w:firstLine="567"/>
        <w:rPr>
          <w:szCs w:val="22"/>
        </w:rPr>
      </w:pPr>
      <w:r w:rsidRPr="00FC2FB3">
        <w:t>На ринку можуть бути представлені не всі розміри упаковок.</w:t>
      </w:r>
    </w:p>
    <w:p w14:paraId="2EA5337C" w14:textId="77777777" w:rsidR="002F5932" w:rsidRPr="00FC2FB3" w:rsidRDefault="00266902" w:rsidP="00C025B4">
      <w:pPr>
        <w:pStyle w:val="af"/>
        <w:tabs>
          <w:tab w:val="left" w:pos="0"/>
        </w:tabs>
        <w:ind w:left="0" w:firstLine="567"/>
        <w:contextualSpacing/>
        <w:jc w:val="both"/>
        <w:rPr>
          <w:b/>
          <w:snapToGrid w:val="0"/>
          <w:lang w:val="uk-UA"/>
        </w:rPr>
      </w:pPr>
      <w:r w:rsidRPr="00FC2FB3">
        <w:rPr>
          <w:b/>
        </w:rPr>
        <w:t>6.5 Особливі заходи безпеки при поводженні з невикористаним препаратом або із його залишками</w:t>
      </w:r>
    </w:p>
    <w:p w14:paraId="65EBA55A" w14:textId="77777777" w:rsidR="0031045D" w:rsidRPr="00FC2FB3" w:rsidRDefault="00265A8D" w:rsidP="00850C77">
      <w:pPr>
        <w:pStyle w:val="af"/>
        <w:tabs>
          <w:tab w:val="left" w:pos="0"/>
        </w:tabs>
        <w:ind w:left="0" w:firstLine="567"/>
        <w:contextualSpacing/>
        <w:jc w:val="both"/>
      </w:pPr>
      <w:r w:rsidRPr="00FC2FB3">
        <w:rPr>
          <w:lang w:val="uk-UA"/>
        </w:rPr>
        <w:t>З</w:t>
      </w:r>
      <w:r w:rsidRPr="00FC2FB3">
        <w:t>алишки невикористаного препарату потрібно утилізувати згідно з чинним законодавством.</w:t>
      </w:r>
    </w:p>
    <w:p w14:paraId="436695D8" w14:textId="1CCFAB4F" w:rsidR="00850C77" w:rsidRPr="00FC2FB3" w:rsidRDefault="00850C77" w:rsidP="00850C77">
      <w:pPr>
        <w:pStyle w:val="af"/>
        <w:tabs>
          <w:tab w:val="left" w:pos="0"/>
        </w:tabs>
        <w:ind w:left="0" w:firstLine="567"/>
        <w:contextualSpacing/>
        <w:jc w:val="both"/>
        <w:rPr>
          <w:b/>
        </w:rPr>
      </w:pPr>
      <w:r w:rsidRPr="00FC2FB3">
        <w:rPr>
          <w:b/>
        </w:rPr>
        <w:t>7. Назва і місцезнаходження власника реєстраційного посвідчення</w:t>
      </w:r>
    </w:p>
    <w:tbl>
      <w:tblPr>
        <w:tblW w:w="0" w:type="auto"/>
        <w:tblLook w:val="04A0" w:firstRow="1" w:lastRow="0" w:firstColumn="1" w:lastColumn="0" w:noHBand="0" w:noVBand="1"/>
      </w:tblPr>
      <w:tblGrid>
        <w:gridCol w:w="5103"/>
        <w:gridCol w:w="4819"/>
      </w:tblGrid>
      <w:tr w:rsidR="00D53A7F" w:rsidRPr="00FC2FB3" w14:paraId="79061408" w14:textId="77777777" w:rsidTr="00B4518E">
        <w:tc>
          <w:tcPr>
            <w:tcW w:w="5103" w:type="dxa"/>
          </w:tcPr>
          <w:p w14:paraId="518F5603" w14:textId="77777777" w:rsidR="0041500C" w:rsidRPr="00FC2FB3" w:rsidRDefault="0041500C" w:rsidP="0041500C">
            <w:pPr>
              <w:tabs>
                <w:tab w:val="left" w:pos="0"/>
              </w:tabs>
              <w:ind w:firstLine="567"/>
              <w:jc w:val="both"/>
            </w:pPr>
            <w:r w:rsidRPr="00FC2FB3">
              <w:t xml:space="preserve">Берінгер Інгельхайм Ветмедіка ГмбХ, </w:t>
            </w:r>
          </w:p>
          <w:p w14:paraId="69CBC251" w14:textId="77777777" w:rsidR="00E34DED" w:rsidRPr="00FC2FB3" w:rsidRDefault="00B4518E" w:rsidP="00E34DED">
            <w:pPr>
              <w:ind w:left="567"/>
              <w:jc w:val="both"/>
              <w:rPr>
                <w:lang w:val="uk-UA"/>
              </w:rPr>
            </w:pPr>
            <w:r w:rsidRPr="00FC2FB3">
              <w:rPr>
                <w:lang w:val="uk-UA"/>
              </w:rPr>
              <w:t xml:space="preserve">55216 м.Інгельхайм-на-Рейні, </w:t>
            </w:r>
          </w:p>
          <w:p w14:paraId="02E38311" w14:textId="554C43A4" w:rsidR="00B4518E" w:rsidRPr="00FC2FB3" w:rsidRDefault="00D3641A" w:rsidP="00E34DED">
            <w:pPr>
              <w:ind w:left="567"/>
              <w:jc w:val="both"/>
              <w:rPr>
                <w:lang w:val="uk-UA"/>
              </w:rPr>
            </w:pPr>
            <w:r w:rsidRPr="00FC2FB3">
              <w:rPr>
                <w:lang w:val="uk-UA"/>
              </w:rPr>
              <w:t>Бінгер штрассе, 173, НІМЕЧЧИНА</w:t>
            </w:r>
            <w:r w:rsidR="00B4518E" w:rsidRPr="00FC2FB3">
              <w:rPr>
                <w:lang w:val="uk-UA"/>
              </w:rPr>
              <w:t>.</w:t>
            </w:r>
          </w:p>
        </w:tc>
        <w:tc>
          <w:tcPr>
            <w:tcW w:w="4819" w:type="dxa"/>
          </w:tcPr>
          <w:p w14:paraId="6D27CBB6" w14:textId="77777777" w:rsidR="0041500C" w:rsidRPr="00FC2FB3" w:rsidRDefault="0041500C" w:rsidP="00E34DED">
            <w:pPr>
              <w:tabs>
                <w:tab w:val="left" w:pos="0"/>
              </w:tabs>
              <w:ind w:firstLine="429"/>
              <w:jc w:val="both"/>
              <w:rPr>
                <w:lang w:val="en-US"/>
              </w:rPr>
            </w:pPr>
            <w:r w:rsidRPr="00FC2FB3">
              <w:rPr>
                <w:lang w:val="de-DE"/>
              </w:rPr>
              <w:t>Boehringer Ingelheim Vetmedica GmbH</w:t>
            </w:r>
            <w:r w:rsidRPr="00FC2FB3">
              <w:rPr>
                <w:lang w:val="en-US"/>
              </w:rPr>
              <w:t xml:space="preserve">, </w:t>
            </w:r>
          </w:p>
          <w:p w14:paraId="69F62EF2" w14:textId="77777777" w:rsidR="00E34DED" w:rsidRPr="00FC2FB3" w:rsidRDefault="00B4518E" w:rsidP="00E34DED">
            <w:pPr>
              <w:tabs>
                <w:tab w:val="left" w:pos="570"/>
              </w:tabs>
              <w:ind w:left="570" w:hanging="141"/>
              <w:jc w:val="both"/>
              <w:rPr>
                <w:lang w:val="uk-UA"/>
              </w:rPr>
            </w:pPr>
            <w:r w:rsidRPr="00FC2FB3">
              <w:rPr>
                <w:lang w:val="uk-UA"/>
              </w:rPr>
              <w:t xml:space="preserve">55216 Ingelheim-am-Rhein, </w:t>
            </w:r>
          </w:p>
          <w:p w14:paraId="2ABEE93A" w14:textId="48EA922A" w:rsidR="00B4518E" w:rsidRPr="00FC2FB3" w:rsidRDefault="00D3641A" w:rsidP="00E34DED">
            <w:pPr>
              <w:tabs>
                <w:tab w:val="left" w:pos="570"/>
              </w:tabs>
              <w:ind w:left="570" w:hanging="141"/>
              <w:jc w:val="both"/>
              <w:rPr>
                <w:lang w:val="uk-UA"/>
              </w:rPr>
            </w:pPr>
            <w:r w:rsidRPr="00FC2FB3">
              <w:rPr>
                <w:lang w:val="en-US"/>
              </w:rPr>
              <w:t>Binger Strasse 173, GERMANY</w:t>
            </w:r>
            <w:r w:rsidR="00B4518E" w:rsidRPr="00FC2FB3">
              <w:rPr>
                <w:lang w:val="uk-UA"/>
              </w:rPr>
              <w:t>.</w:t>
            </w:r>
          </w:p>
        </w:tc>
      </w:tr>
    </w:tbl>
    <w:p w14:paraId="793B7F6C" w14:textId="77777777" w:rsidR="00850C77" w:rsidRPr="00FC2FB3" w:rsidRDefault="00850C77" w:rsidP="00850C77">
      <w:pPr>
        <w:widowControl w:val="0"/>
        <w:tabs>
          <w:tab w:val="left" w:pos="0"/>
        </w:tabs>
        <w:ind w:firstLine="567"/>
        <w:jc w:val="both"/>
        <w:rPr>
          <w:b/>
          <w:lang w:val="uk-UA"/>
        </w:rPr>
      </w:pPr>
      <w:r w:rsidRPr="00FC2FB3">
        <w:rPr>
          <w:b/>
          <w:snapToGrid w:val="0"/>
          <w:lang w:val="uk-UA"/>
        </w:rPr>
        <w:t xml:space="preserve">8. </w:t>
      </w:r>
      <w:r w:rsidRPr="00FC2FB3">
        <w:rPr>
          <w:b/>
          <w:lang w:val="uk-UA"/>
        </w:rPr>
        <w:t>Назва і місцезнаходження виробника</w:t>
      </w:r>
    </w:p>
    <w:tbl>
      <w:tblPr>
        <w:tblW w:w="0" w:type="auto"/>
        <w:tblInd w:w="108" w:type="dxa"/>
        <w:tblLook w:val="04A0" w:firstRow="1" w:lastRow="0" w:firstColumn="1" w:lastColumn="0" w:noHBand="0" w:noVBand="1"/>
      </w:tblPr>
      <w:tblGrid>
        <w:gridCol w:w="4819"/>
        <w:gridCol w:w="284"/>
        <w:gridCol w:w="4820"/>
        <w:gridCol w:w="283"/>
      </w:tblGrid>
      <w:tr w:rsidR="00D53A7F" w:rsidRPr="005A20A1" w14:paraId="4F88D53C" w14:textId="77777777" w:rsidTr="00E34DED">
        <w:trPr>
          <w:gridAfter w:val="1"/>
          <w:wAfter w:w="283" w:type="dxa"/>
        </w:trPr>
        <w:tc>
          <w:tcPr>
            <w:tcW w:w="4819" w:type="dxa"/>
          </w:tcPr>
          <w:p w14:paraId="46403CF0" w14:textId="77777777" w:rsidR="00F8327A" w:rsidRPr="00FC2FB3" w:rsidRDefault="00A57DA0" w:rsidP="000570CF">
            <w:pPr>
              <w:ind w:left="458" w:firstLine="33"/>
              <w:jc w:val="both"/>
              <w:rPr>
                <w:lang w:val="uk-UA"/>
              </w:rPr>
            </w:pPr>
            <w:r w:rsidRPr="00FC2FB3">
              <w:rPr>
                <w:lang w:val="uk-UA"/>
              </w:rPr>
              <w:t xml:space="preserve">Берінгер Інгельхайм Промеко, </w:t>
            </w:r>
          </w:p>
          <w:p w14:paraId="21BB2AA7" w14:textId="73FC196B" w:rsidR="00EC3BE6" w:rsidRPr="00FC2FB3" w:rsidRDefault="00A57DA0" w:rsidP="000570CF">
            <w:pPr>
              <w:ind w:left="458" w:firstLine="33"/>
              <w:jc w:val="both"/>
              <w:rPr>
                <w:lang w:val="uk-UA"/>
              </w:rPr>
            </w:pPr>
            <w:r w:rsidRPr="00FC2FB3">
              <w:rPr>
                <w:lang w:val="uk-UA"/>
              </w:rPr>
              <w:t>С.А. де С</w:t>
            </w:r>
            <w:r w:rsidR="00464570" w:rsidRPr="00FC2FB3">
              <w:rPr>
                <w:lang w:val="uk-UA"/>
              </w:rPr>
              <w:t>.</w:t>
            </w:r>
            <w:r w:rsidRPr="00FC2FB3">
              <w:rPr>
                <w:lang w:val="uk-UA"/>
              </w:rPr>
              <w:t xml:space="preserve">В., </w:t>
            </w:r>
          </w:p>
          <w:p w14:paraId="31899D3B" w14:textId="4A6B70DF" w:rsidR="00E34DED" w:rsidRPr="00FC2FB3" w:rsidRDefault="00A57DA0" w:rsidP="000570CF">
            <w:pPr>
              <w:ind w:left="458" w:firstLine="33"/>
              <w:jc w:val="both"/>
              <w:rPr>
                <w:lang w:val="uk-UA"/>
              </w:rPr>
            </w:pPr>
            <w:r w:rsidRPr="00FC2FB3">
              <w:rPr>
                <w:lang w:val="uk-UA"/>
              </w:rPr>
              <w:t>Кайє Маїз 49, Барріо Шальтокан</w:t>
            </w:r>
            <w:r w:rsidR="00E0184E" w:rsidRPr="00FC2FB3">
              <w:rPr>
                <w:lang w:val="uk-UA"/>
              </w:rPr>
              <w:t>.</w:t>
            </w:r>
            <w:r w:rsidRPr="00FC2FB3">
              <w:rPr>
                <w:lang w:val="uk-UA"/>
              </w:rPr>
              <w:t xml:space="preserve"> Сочімілько, С</w:t>
            </w:r>
            <w:r w:rsidR="00E4245F" w:rsidRPr="00FC2FB3">
              <w:rPr>
                <w:lang w:val="uk-UA"/>
              </w:rPr>
              <w:t>.</w:t>
            </w:r>
            <w:r w:rsidRPr="00FC2FB3">
              <w:rPr>
                <w:lang w:val="uk-UA"/>
              </w:rPr>
              <w:t xml:space="preserve">П. 16090 Мехіко, </w:t>
            </w:r>
            <w:r w:rsidR="004D42A5" w:rsidRPr="00FC2FB3">
              <w:rPr>
                <w:lang w:val="uk-UA"/>
              </w:rPr>
              <w:t xml:space="preserve">МЕКСИКА </w:t>
            </w:r>
          </w:p>
          <w:p w14:paraId="48E0393C" w14:textId="4397CC68" w:rsidR="00F8327A" w:rsidRPr="00FC2FB3" w:rsidRDefault="00F8327A" w:rsidP="000570CF">
            <w:pPr>
              <w:ind w:left="567" w:firstLine="33"/>
              <w:jc w:val="both"/>
              <w:rPr>
                <w:lang w:val="uk-UA"/>
                <w:rPrChange w:id="6" w:author="admin" w:date="2025-02-12T17:31:00Z">
                  <w:rPr>
                    <w:highlight w:val="yellow"/>
                    <w:lang w:val="uk-UA"/>
                  </w:rPr>
                </w:rPrChange>
              </w:rPr>
            </w:pPr>
          </w:p>
        </w:tc>
        <w:tc>
          <w:tcPr>
            <w:tcW w:w="5104" w:type="dxa"/>
            <w:gridSpan w:val="2"/>
          </w:tcPr>
          <w:p w14:paraId="4B3E73A9" w14:textId="77777777" w:rsidR="00F8327A" w:rsidRPr="00FC2FB3" w:rsidRDefault="00A57DA0" w:rsidP="00992CB2">
            <w:pPr>
              <w:tabs>
                <w:tab w:val="left" w:pos="570"/>
              </w:tabs>
              <w:ind w:left="570"/>
              <w:jc w:val="both"/>
              <w:rPr>
                <w:lang w:val="de-DE"/>
              </w:rPr>
            </w:pPr>
            <w:r w:rsidRPr="00FC2FB3">
              <w:rPr>
                <w:lang w:val="de-DE"/>
              </w:rPr>
              <w:t xml:space="preserve">Boehringer Ingelheim Promeco, </w:t>
            </w:r>
          </w:p>
          <w:p w14:paraId="144CE71B" w14:textId="77777777" w:rsidR="00EC3BE6" w:rsidRPr="00FC2FB3" w:rsidRDefault="00A57DA0" w:rsidP="00992CB2">
            <w:pPr>
              <w:tabs>
                <w:tab w:val="left" w:pos="570"/>
              </w:tabs>
              <w:ind w:left="570"/>
              <w:jc w:val="both"/>
              <w:rPr>
                <w:lang w:val="de-DE"/>
              </w:rPr>
            </w:pPr>
            <w:r w:rsidRPr="00FC2FB3">
              <w:rPr>
                <w:lang w:val="de-DE"/>
              </w:rPr>
              <w:t xml:space="preserve">SA </w:t>
            </w:r>
            <w:r w:rsidR="00EC3BE6" w:rsidRPr="00FC2FB3">
              <w:rPr>
                <w:lang w:val="fr-FR"/>
                <w:rPrChange w:id="7" w:author="admin" w:date="2025-02-12T17:31:00Z">
                  <w:rPr>
                    <w:lang w:val="en-US"/>
                  </w:rPr>
                </w:rPrChange>
              </w:rPr>
              <w:t xml:space="preserve">de </w:t>
            </w:r>
            <w:r w:rsidRPr="00FC2FB3">
              <w:rPr>
                <w:lang w:val="de-DE"/>
              </w:rPr>
              <w:t xml:space="preserve">CV, </w:t>
            </w:r>
          </w:p>
          <w:p w14:paraId="12BBF3E8" w14:textId="36036DBE" w:rsidR="00E34DED" w:rsidRPr="00FC2FB3" w:rsidRDefault="00A57DA0" w:rsidP="00992CB2">
            <w:pPr>
              <w:tabs>
                <w:tab w:val="left" w:pos="570"/>
              </w:tabs>
              <w:ind w:left="570"/>
              <w:jc w:val="both"/>
              <w:rPr>
                <w:lang w:val="uk-UA"/>
                <w:rPrChange w:id="8" w:author="admin" w:date="2025-02-12T17:31:00Z">
                  <w:rPr>
                    <w:highlight w:val="yellow"/>
                    <w:lang w:val="uk-UA"/>
                  </w:rPr>
                </w:rPrChange>
              </w:rPr>
            </w:pPr>
            <w:r w:rsidRPr="00FC2FB3">
              <w:rPr>
                <w:lang w:val="de-DE"/>
              </w:rPr>
              <w:t xml:space="preserve">Calle Maiz </w:t>
            </w:r>
            <w:r w:rsidR="00E0184E" w:rsidRPr="00FC2FB3">
              <w:rPr>
                <w:lang w:val="de-DE"/>
              </w:rPr>
              <w:t>No</w:t>
            </w:r>
            <w:r w:rsidR="00E0184E" w:rsidRPr="00FC2FB3">
              <w:rPr>
                <w:lang w:val="en-US"/>
              </w:rPr>
              <w:t xml:space="preserve"> </w:t>
            </w:r>
            <w:r w:rsidRPr="00FC2FB3">
              <w:rPr>
                <w:lang w:val="de-DE"/>
              </w:rPr>
              <w:t>49, Barrio Xaltocan</w:t>
            </w:r>
            <w:r w:rsidR="00E0184E" w:rsidRPr="00FC2FB3">
              <w:rPr>
                <w:lang w:val="de-DE"/>
              </w:rPr>
              <w:t>.</w:t>
            </w:r>
            <w:r w:rsidRPr="00FC2FB3">
              <w:rPr>
                <w:lang w:val="de-DE"/>
              </w:rPr>
              <w:t xml:space="preserve">  Xochimilco, C</w:t>
            </w:r>
            <w:r w:rsidR="00E4245F" w:rsidRPr="00FC2FB3">
              <w:rPr>
                <w:lang w:val="uk-UA"/>
              </w:rPr>
              <w:t>.</w:t>
            </w:r>
            <w:r w:rsidRPr="00FC2FB3">
              <w:rPr>
                <w:lang w:val="de-DE"/>
              </w:rPr>
              <w:t xml:space="preserve">P. 16090 Mexico City,  </w:t>
            </w:r>
            <w:r w:rsidR="004D42A5" w:rsidRPr="00FC2FB3">
              <w:rPr>
                <w:lang w:val="de-DE"/>
              </w:rPr>
              <w:t>MEXICO</w:t>
            </w:r>
          </w:p>
        </w:tc>
      </w:tr>
      <w:tr w:rsidR="00D53A7F" w:rsidRPr="00FC2FB3" w14:paraId="6CEC1CAE" w14:textId="77777777" w:rsidTr="00E34DED">
        <w:tc>
          <w:tcPr>
            <w:tcW w:w="5103" w:type="dxa"/>
            <w:gridSpan w:val="2"/>
          </w:tcPr>
          <w:p w14:paraId="5EB2F81E" w14:textId="77777777" w:rsidR="00265A8D" w:rsidRPr="00FC2FB3" w:rsidRDefault="00265A8D" w:rsidP="000570CF">
            <w:pPr>
              <w:ind w:left="458"/>
              <w:jc w:val="both"/>
              <w:rPr>
                <w:lang w:val="en-US"/>
              </w:rPr>
            </w:pPr>
            <w:bookmarkStart w:id="9" w:name="_Hlk150173505"/>
            <w:r w:rsidRPr="00FC2FB3">
              <w:rPr>
                <w:lang w:val="en-US"/>
              </w:rPr>
              <w:t xml:space="preserve">Берінгер Інгельхайм Ветмедіка ГмбХ, </w:t>
            </w:r>
          </w:p>
          <w:p w14:paraId="12E56E45" w14:textId="49276F9C" w:rsidR="00265A8D" w:rsidRPr="00FC2FB3" w:rsidRDefault="00265A8D" w:rsidP="000570CF">
            <w:pPr>
              <w:ind w:left="458"/>
              <w:jc w:val="both"/>
              <w:rPr>
                <w:lang w:val="en-US"/>
              </w:rPr>
            </w:pPr>
            <w:r w:rsidRPr="00FC2FB3">
              <w:rPr>
                <w:lang w:val="en-US"/>
              </w:rPr>
              <w:t>55216 м.</w:t>
            </w:r>
            <w:r w:rsidR="00B85814" w:rsidRPr="00FC2FB3">
              <w:rPr>
                <w:lang w:val="en-US"/>
              </w:rPr>
              <w:t xml:space="preserve"> </w:t>
            </w:r>
            <w:r w:rsidRPr="00FC2FB3">
              <w:rPr>
                <w:lang w:val="en-US"/>
              </w:rPr>
              <w:t xml:space="preserve">Інгельхайм-на-Рейні, </w:t>
            </w:r>
          </w:p>
          <w:p w14:paraId="26E6678A" w14:textId="2DBA67BB" w:rsidR="00D3641A" w:rsidRPr="00FC2FB3" w:rsidRDefault="00265A8D" w:rsidP="000570CF">
            <w:pPr>
              <w:ind w:left="458"/>
              <w:jc w:val="both"/>
              <w:rPr>
                <w:lang w:val="en-US"/>
              </w:rPr>
            </w:pPr>
            <w:r w:rsidRPr="00FC2FB3">
              <w:rPr>
                <w:lang w:val="en-US"/>
              </w:rPr>
              <w:t>Бінгер штрассе, 173, НІМЕЧЧИНА.</w:t>
            </w:r>
            <w:bookmarkEnd w:id="9"/>
          </w:p>
        </w:tc>
        <w:tc>
          <w:tcPr>
            <w:tcW w:w="5103" w:type="dxa"/>
            <w:gridSpan w:val="2"/>
          </w:tcPr>
          <w:p w14:paraId="10DF0D26" w14:textId="77777777" w:rsidR="00265A8D" w:rsidRPr="00FC2FB3" w:rsidRDefault="00265A8D" w:rsidP="00360AD6">
            <w:pPr>
              <w:ind w:left="319"/>
              <w:jc w:val="both"/>
              <w:rPr>
                <w:lang w:val="uk-UA"/>
              </w:rPr>
            </w:pPr>
            <w:r w:rsidRPr="00FC2FB3">
              <w:rPr>
                <w:lang w:val="uk-UA"/>
              </w:rPr>
              <w:t xml:space="preserve">Boehringer Ingelheim Vetmedica GmbH, </w:t>
            </w:r>
          </w:p>
          <w:p w14:paraId="58082D44" w14:textId="77777777" w:rsidR="00265A8D" w:rsidRPr="00FC2FB3" w:rsidRDefault="00265A8D" w:rsidP="00360AD6">
            <w:pPr>
              <w:ind w:left="319"/>
              <w:jc w:val="both"/>
              <w:rPr>
                <w:lang w:val="uk-UA"/>
              </w:rPr>
            </w:pPr>
            <w:r w:rsidRPr="00FC2FB3">
              <w:rPr>
                <w:lang w:val="uk-UA"/>
              </w:rPr>
              <w:t xml:space="preserve">55216 Ingelheim-am-Rhein, </w:t>
            </w:r>
          </w:p>
          <w:p w14:paraId="701EE961" w14:textId="4CBD67F6" w:rsidR="00D3641A" w:rsidRPr="00FC2FB3" w:rsidRDefault="00265A8D" w:rsidP="00360AD6">
            <w:pPr>
              <w:ind w:left="319"/>
              <w:jc w:val="both"/>
              <w:rPr>
                <w:lang w:val="uk-UA"/>
              </w:rPr>
            </w:pPr>
            <w:r w:rsidRPr="00FC2FB3">
              <w:rPr>
                <w:lang w:val="uk-UA"/>
              </w:rPr>
              <w:t>Binger Strasse 173, GERMANY.</w:t>
            </w:r>
          </w:p>
        </w:tc>
      </w:tr>
    </w:tbl>
    <w:p w14:paraId="39153586" w14:textId="77777777" w:rsidR="00850C77" w:rsidRPr="00FC2FB3" w:rsidRDefault="00850C77" w:rsidP="00850C77">
      <w:pPr>
        <w:widowControl w:val="0"/>
        <w:tabs>
          <w:tab w:val="left" w:pos="0"/>
        </w:tabs>
        <w:ind w:firstLine="567"/>
        <w:jc w:val="both"/>
        <w:rPr>
          <w:b/>
          <w:lang w:val="uk-UA"/>
        </w:rPr>
      </w:pPr>
      <w:r w:rsidRPr="00FC2FB3">
        <w:rPr>
          <w:b/>
          <w:lang w:val="uk-UA"/>
        </w:rPr>
        <w:t>9. Додаткова інформація</w:t>
      </w:r>
    </w:p>
    <w:p w14:paraId="7DB32852" w14:textId="77777777" w:rsidR="00850C77" w:rsidRPr="00D53A7F" w:rsidRDefault="00850C77" w:rsidP="00850C77">
      <w:pPr>
        <w:widowControl w:val="0"/>
        <w:tabs>
          <w:tab w:val="left" w:pos="0"/>
        </w:tabs>
        <w:ind w:firstLine="567"/>
        <w:jc w:val="both"/>
        <w:rPr>
          <w:lang w:val="uk-UA"/>
        </w:rPr>
      </w:pPr>
      <w:r w:rsidRPr="00FC2FB3">
        <w:rPr>
          <w:lang w:val="uk-UA"/>
        </w:rPr>
        <w:t>Відсутня.</w:t>
      </w:r>
    </w:p>
    <w:p w14:paraId="5D1EDF67" w14:textId="77777777" w:rsidR="007911DE" w:rsidRPr="00D53A7F" w:rsidRDefault="007911DE" w:rsidP="00E732EF">
      <w:pPr>
        <w:pStyle w:val="af"/>
        <w:tabs>
          <w:tab w:val="left" w:pos="0"/>
        </w:tabs>
        <w:ind w:left="0" w:firstLine="567"/>
        <w:contextualSpacing/>
        <w:jc w:val="both"/>
        <w:rPr>
          <w:lang w:val="uk-UA"/>
        </w:rPr>
      </w:pPr>
    </w:p>
    <w:sectPr w:rsidR="007911DE" w:rsidRPr="00D53A7F" w:rsidSect="00BF7946">
      <w:headerReference w:type="even" r:id="rId7"/>
      <w:headerReference w:type="default" r:id="rId8"/>
      <w:footerReference w:type="even" r:id="rId9"/>
      <w:footerReference w:type="default" r:id="rId10"/>
      <w:headerReference w:type="first" r:id="rId11"/>
      <w:footerReference w:type="first" r:id="rId12"/>
      <w:pgSz w:w="11906" w:h="16838"/>
      <w:pgMar w:top="567" w:right="454" w:bottom="45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09BC5" w16cex:dateUtc="2024-02-21T13:56:00Z"/>
  <w16cex:commentExtensible w16cex:durableId="2B55CE2D" w16cex:dateUtc="2025-02-11T11:25:00Z"/>
  <w16cex:commentExtensible w16cex:durableId="2B55CE42" w16cex:dateUtc="2025-02-11T11:25:00Z"/>
  <w16cex:commentExtensible w16cex:durableId="2B55CE75" w16cex:dateUtc="2025-02-11T11:26:00Z"/>
  <w16cex:commentExtensible w16cex:durableId="2B55CF26" w16cex:dateUtc="2025-02-11T11:29:00Z"/>
  <w16cex:commentExtensible w16cex:durableId="2B55CF66" w16cex:dateUtc="2025-02-11T11:30:00Z"/>
  <w16cex:commentExtensible w16cex:durableId="2B55CFB8" w16cex:dateUtc="2025-02-11T11:31:00Z"/>
  <w16cex:commentExtensible w16cex:durableId="2B55D05F" w16cex:dateUtc="2025-02-11T11:34:00Z"/>
  <w16cex:commentExtensible w16cex:durableId="2B55D0C8" w16cex:dateUtc="2025-02-11T11:36:00Z"/>
  <w16cex:commentExtensible w16cex:durableId="2B55D0D8" w16cex:dateUtc="2025-02-11T11:36:00Z"/>
  <w16cex:commentExtensible w16cex:durableId="2B55D280" w16cex:dateUtc="2025-02-11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2DAE9" w16cid:durableId="29809BC5"/>
  <w16cid:commentId w16cid:paraId="12708DC7" w16cid:durableId="2B55CDF1"/>
  <w16cid:commentId w16cid:paraId="05B2FD1A" w16cid:durableId="2B55CE2D"/>
  <w16cid:commentId w16cid:paraId="5497DFDB" w16cid:durableId="2B55CE42"/>
  <w16cid:commentId w16cid:paraId="02FBCAFC" w16cid:durableId="2B55CDF2"/>
  <w16cid:commentId w16cid:paraId="4D871A6A" w16cid:durableId="2B55CE75"/>
  <w16cid:commentId w16cid:paraId="10A6E829" w16cid:durableId="2B55CDF3"/>
  <w16cid:commentId w16cid:paraId="644E788C" w16cid:durableId="2B55CF26"/>
  <w16cid:commentId w16cid:paraId="0E2BA6EB" w16cid:durableId="2B55CDF4"/>
  <w16cid:commentId w16cid:paraId="43DAE98B" w16cid:durableId="2B55CF66"/>
  <w16cid:commentId w16cid:paraId="52870016" w16cid:durableId="2B55CFB8"/>
  <w16cid:commentId w16cid:paraId="3BAF4E34" w16cid:durableId="2B55CDF5"/>
  <w16cid:commentId w16cid:paraId="4EB1DC75" w16cid:durableId="2B55D05F"/>
  <w16cid:commentId w16cid:paraId="58150A22" w16cid:durableId="2B55CDF6"/>
  <w16cid:commentId w16cid:paraId="0913302A" w16cid:durableId="2B55D0C8"/>
  <w16cid:commentId w16cid:paraId="3751B2F4" w16cid:durableId="2B55D0D8"/>
  <w16cid:commentId w16cid:paraId="191F9B1E" w16cid:durableId="2B55D2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5E1D4" w14:textId="77777777" w:rsidR="00D7117E" w:rsidRDefault="00D7117E">
      <w:r>
        <w:separator/>
      </w:r>
    </w:p>
  </w:endnote>
  <w:endnote w:type="continuationSeparator" w:id="0">
    <w:p w14:paraId="621C4982" w14:textId="77777777" w:rsidR="00D7117E" w:rsidRDefault="00D7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5D47" w14:textId="77777777" w:rsidR="00A47BD3" w:rsidRDefault="00A47BD3" w:rsidP="00A24AF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778558C" w14:textId="77777777" w:rsidR="00A47BD3" w:rsidRDefault="00A47BD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AC0E" w14:textId="359BFDE9" w:rsidR="00A47BD3" w:rsidRDefault="00A47BD3" w:rsidP="00A24AF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A20A1">
      <w:rPr>
        <w:rStyle w:val="aa"/>
        <w:noProof/>
      </w:rPr>
      <w:t>2</w:t>
    </w:r>
    <w:r>
      <w:rPr>
        <w:rStyle w:val="aa"/>
      </w:rPr>
      <w:fldChar w:fldCharType="end"/>
    </w:r>
  </w:p>
  <w:p w14:paraId="2F1A58E6" w14:textId="77777777" w:rsidR="00A47BD3" w:rsidRDefault="00A47BD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ECA9" w14:textId="2DB4E190" w:rsidR="00D87021" w:rsidRDefault="00D87021">
    <w:pPr>
      <w:pStyle w:val="a8"/>
      <w:jc w:val="center"/>
    </w:pPr>
    <w:r>
      <w:fldChar w:fldCharType="begin"/>
    </w:r>
    <w:r>
      <w:instrText>PAGE   \* MERGEFORMAT</w:instrText>
    </w:r>
    <w:r>
      <w:fldChar w:fldCharType="separate"/>
    </w:r>
    <w:r w:rsidR="005A20A1">
      <w:rPr>
        <w:noProof/>
      </w:rPr>
      <w:t>1</w:t>
    </w:r>
    <w:r>
      <w:fldChar w:fldCharType="end"/>
    </w:r>
  </w:p>
  <w:p w14:paraId="23BD03DD" w14:textId="77777777" w:rsidR="00D87021" w:rsidRDefault="00D8702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229C" w14:textId="77777777" w:rsidR="00D7117E" w:rsidRDefault="00D7117E">
      <w:r>
        <w:separator/>
      </w:r>
    </w:p>
  </w:footnote>
  <w:footnote w:type="continuationSeparator" w:id="0">
    <w:p w14:paraId="614146C7" w14:textId="77777777" w:rsidR="00D7117E" w:rsidRDefault="00D71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6241" w14:textId="77777777" w:rsidR="00D87021" w:rsidRDefault="00D8702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B54E" w14:textId="77777777" w:rsidR="00BF7946" w:rsidRPr="00F31505" w:rsidRDefault="00BF7946" w:rsidP="00BF7946">
    <w:pPr>
      <w:tabs>
        <w:tab w:val="left" w:pos="5529"/>
      </w:tabs>
      <w:ind w:left="5387"/>
      <w:jc w:val="right"/>
    </w:pPr>
    <w:r>
      <w:t>Продовження додат</w:t>
    </w:r>
    <w:r w:rsidRPr="00F31505">
      <w:t>к</w:t>
    </w:r>
    <w:r>
      <w:t>у</w:t>
    </w:r>
    <w:r w:rsidRPr="00F31505">
      <w:t xml:space="preserve"> </w:t>
    </w:r>
    <w:r>
      <w:t>1</w:t>
    </w:r>
  </w:p>
  <w:p w14:paraId="55F59189" w14:textId="2115F1F4" w:rsidR="00EB248E" w:rsidRPr="006345FE" w:rsidRDefault="00EB248E" w:rsidP="00EB248E">
    <w:pPr>
      <w:ind w:left="4678"/>
      <w:jc w:val="right"/>
    </w:pPr>
    <w:r w:rsidRPr="00F31505">
      <w:t>до реєстраційного посвідчення</w:t>
    </w:r>
    <w:r w:rsidRPr="008A38F6">
      <w:t xml:space="preserve"> </w:t>
    </w:r>
  </w:p>
  <w:p w14:paraId="6C71122E" w14:textId="77777777" w:rsidR="00BF7946" w:rsidRDefault="00BF7946" w:rsidP="00BF7946">
    <w:pPr>
      <w:pStyle w:val="a6"/>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021B" w14:textId="77777777" w:rsidR="00BF7946" w:rsidRPr="00F31505" w:rsidRDefault="00BF7946" w:rsidP="00BF7946">
    <w:pPr>
      <w:tabs>
        <w:tab w:val="left" w:pos="5529"/>
      </w:tabs>
      <w:ind w:left="5387"/>
      <w:jc w:val="right"/>
    </w:pPr>
    <w:r w:rsidRPr="00F31505">
      <w:t xml:space="preserve">Додаток </w:t>
    </w:r>
    <w:r>
      <w:t>1</w:t>
    </w:r>
  </w:p>
  <w:p w14:paraId="26F2E2B4" w14:textId="4236967A" w:rsidR="00BF7946" w:rsidRPr="00BF7946" w:rsidRDefault="00BF7946" w:rsidP="00D1684F">
    <w:pPr>
      <w:ind w:left="4678"/>
      <w:jc w:val="right"/>
      <w:rPr>
        <w:lang w:val="uk-UA"/>
      </w:rPr>
    </w:pPr>
    <w:r w:rsidRPr="00F31505">
      <w:t>до реєстраційного посвідчення</w:t>
    </w:r>
    <w:r>
      <w:rPr>
        <w:lang w:val="uk-UA"/>
      </w:rPr>
      <w:tab/>
    </w:r>
  </w:p>
  <w:p w14:paraId="4EEFDBEC" w14:textId="77777777" w:rsidR="00BF7946" w:rsidRPr="00BF7946" w:rsidRDefault="00BF7946">
    <w:pPr>
      <w:pStyle w:val="a6"/>
      <w:rPr>
        <w:b/>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debfa1b74abbdf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AF9"/>
    <w:rsid w:val="00000516"/>
    <w:rsid w:val="000034DE"/>
    <w:rsid w:val="00004882"/>
    <w:rsid w:val="0000643E"/>
    <w:rsid w:val="00007CAF"/>
    <w:rsid w:val="00011269"/>
    <w:rsid w:val="000114FF"/>
    <w:rsid w:val="00014AD0"/>
    <w:rsid w:val="00020212"/>
    <w:rsid w:val="000222C2"/>
    <w:rsid w:val="00022CD9"/>
    <w:rsid w:val="00023ABC"/>
    <w:rsid w:val="000248B7"/>
    <w:rsid w:val="00031517"/>
    <w:rsid w:val="00040F13"/>
    <w:rsid w:val="000420D9"/>
    <w:rsid w:val="00043418"/>
    <w:rsid w:val="00047F26"/>
    <w:rsid w:val="0005232E"/>
    <w:rsid w:val="00053248"/>
    <w:rsid w:val="00053DAE"/>
    <w:rsid w:val="00054305"/>
    <w:rsid w:val="00054412"/>
    <w:rsid w:val="00054E47"/>
    <w:rsid w:val="00056FF9"/>
    <w:rsid w:val="000570CF"/>
    <w:rsid w:val="000574E4"/>
    <w:rsid w:val="000625B5"/>
    <w:rsid w:val="000669F3"/>
    <w:rsid w:val="00080797"/>
    <w:rsid w:val="00081501"/>
    <w:rsid w:val="00082A88"/>
    <w:rsid w:val="00085506"/>
    <w:rsid w:val="00087D72"/>
    <w:rsid w:val="0009455F"/>
    <w:rsid w:val="00094FA6"/>
    <w:rsid w:val="00095564"/>
    <w:rsid w:val="00096EDF"/>
    <w:rsid w:val="00097899"/>
    <w:rsid w:val="000A058C"/>
    <w:rsid w:val="000A21CC"/>
    <w:rsid w:val="000A758C"/>
    <w:rsid w:val="000B1B5A"/>
    <w:rsid w:val="000C02BC"/>
    <w:rsid w:val="000C5DF4"/>
    <w:rsid w:val="000C62C8"/>
    <w:rsid w:val="000C6783"/>
    <w:rsid w:val="000C749F"/>
    <w:rsid w:val="000C7B04"/>
    <w:rsid w:val="000D2F61"/>
    <w:rsid w:val="000D36B7"/>
    <w:rsid w:val="000E0D24"/>
    <w:rsid w:val="000E4D81"/>
    <w:rsid w:val="000E7017"/>
    <w:rsid w:val="000F18E2"/>
    <w:rsid w:val="000F40E7"/>
    <w:rsid w:val="000F4FB8"/>
    <w:rsid w:val="00104EA0"/>
    <w:rsid w:val="00105556"/>
    <w:rsid w:val="00106E99"/>
    <w:rsid w:val="001220F5"/>
    <w:rsid w:val="00123304"/>
    <w:rsid w:val="0012564D"/>
    <w:rsid w:val="00127C9F"/>
    <w:rsid w:val="00130E51"/>
    <w:rsid w:val="001323A9"/>
    <w:rsid w:val="00133F8F"/>
    <w:rsid w:val="001371BD"/>
    <w:rsid w:val="00140912"/>
    <w:rsid w:val="00141A70"/>
    <w:rsid w:val="001433EA"/>
    <w:rsid w:val="00147447"/>
    <w:rsid w:val="00150478"/>
    <w:rsid w:val="00155F9D"/>
    <w:rsid w:val="001578BC"/>
    <w:rsid w:val="00163686"/>
    <w:rsid w:val="00163CFC"/>
    <w:rsid w:val="00166149"/>
    <w:rsid w:val="00171338"/>
    <w:rsid w:val="001726BD"/>
    <w:rsid w:val="001762C8"/>
    <w:rsid w:val="00184145"/>
    <w:rsid w:val="00184CF9"/>
    <w:rsid w:val="00187F48"/>
    <w:rsid w:val="00193012"/>
    <w:rsid w:val="00194C16"/>
    <w:rsid w:val="00195702"/>
    <w:rsid w:val="00195C89"/>
    <w:rsid w:val="001A7BB5"/>
    <w:rsid w:val="001C47F6"/>
    <w:rsid w:val="001D100F"/>
    <w:rsid w:val="001D269E"/>
    <w:rsid w:val="001D4F1D"/>
    <w:rsid w:val="001D721F"/>
    <w:rsid w:val="001E5952"/>
    <w:rsid w:val="001E7645"/>
    <w:rsid w:val="001F4825"/>
    <w:rsid w:val="001F75C2"/>
    <w:rsid w:val="0020118E"/>
    <w:rsid w:val="0020189D"/>
    <w:rsid w:val="00204028"/>
    <w:rsid w:val="00206497"/>
    <w:rsid w:val="002111DB"/>
    <w:rsid w:val="00215A5A"/>
    <w:rsid w:val="00217F0A"/>
    <w:rsid w:val="002247F2"/>
    <w:rsid w:val="00227010"/>
    <w:rsid w:val="00230305"/>
    <w:rsid w:val="00233B6C"/>
    <w:rsid w:val="0023548E"/>
    <w:rsid w:val="00236341"/>
    <w:rsid w:val="00237316"/>
    <w:rsid w:val="00241B99"/>
    <w:rsid w:val="00250029"/>
    <w:rsid w:val="00251946"/>
    <w:rsid w:val="00251EA0"/>
    <w:rsid w:val="002575C8"/>
    <w:rsid w:val="002652E7"/>
    <w:rsid w:val="00265A8D"/>
    <w:rsid w:val="00266902"/>
    <w:rsid w:val="0027434D"/>
    <w:rsid w:val="00275542"/>
    <w:rsid w:val="00275FBB"/>
    <w:rsid w:val="00283BAB"/>
    <w:rsid w:val="00285399"/>
    <w:rsid w:val="00286E40"/>
    <w:rsid w:val="002A0211"/>
    <w:rsid w:val="002A0CF8"/>
    <w:rsid w:val="002A7272"/>
    <w:rsid w:val="002A74B7"/>
    <w:rsid w:val="002A77AE"/>
    <w:rsid w:val="002B4990"/>
    <w:rsid w:val="002B508D"/>
    <w:rsid w:val="002B63A3"/>
    <w:rsid w:val="002C4A14"/>
    <w:rsid w:val="002D181A"/>
    <w:rsid w:val="002D5734"/>
    <w:rsid w:val="002D75E3"/>
    <w:rsid w:val="002E0025"/>
    <w:rsid w:val="002E0F7B"/>
    <w:rsid w:val="002E5342"/>
    <w:rsid w:val="002F1DCA"/>
    <w:rsid w:val="002F3A19"/>
    <w:rsid w:val="002F486E"/>
    <w:rsid w:val="002F5932"/>
    <w:rsid w:val="002F77D2"/>
    <w:rsid w:val="002F7AF8"/>
    <w:rsid w:val="00300C7B"/>
    <w:rsid w:val="00305525"/>
    <w:rsid w:val="0031045D"/>
    <w:rsid w:val="00312437"/>
    <w:rsid w:val="003161FF"/>
    <w:rsid w:val="00316D83"/>
    <w:rsid w:val="003231FD"/>
    <w:rsid w:val="00323AB2"/>
    <w:rsid w:val="00323C7E"/>
    <w:rsid w:val="0032443F"/>
    <w:rsid w:val="00325B99"/>
    <w:rsid w:val="00326B33"/>
    <w:rsid w:val="00326ED3"/>
    <w:rsid w:val="00327F16"/>
    <w:rsid w:val="00332A79"/>
    <w:rsid w:val="003345E1"/>
    <w:rsid w:val="00334DBE"/>
    <w:rsid w:val="00343227"/>
    <w:rsid w:val="003438AD"/>
    <w:rsid w:val="00350E79"/>
    <w:rsid w:val="003518C6"/>
    <w:rsid w:val="00352385"/>
    <w:rsid w:val="003533BA"/>
    <w:rsid w:val="00353DE2"/>
    <w:rsid w:val="0035501D"/>
    <w:rsid w:val="00355CC2"/>
    <w:rsid w:val="00360AD6"/>
    <w:rsid w:val="00362703"/>
    <w:rsid w:val="003654F8"/>
    <w:rsid w:val="003659ED"/>
    <w:rsid w:val="00366231"/>
    <w:rsid w:val="003724A8"/>
    <w:rsid w:val="00382EB9"/>
    <w:rsid w:val="00384647"/>
    <w:rsid w:val="00390756"/>
    <w:rsid w:val="00393DD5"/>
    <w:rsid w:val="0039469F"/>
    <w:rsid w:val="003A2ADB"/>
    <w:rsid w:val="003A2CC9"/>
    <w:rsid w:val="003B6FB8"/>
    <w:rsid w:val="003B744B"/>
    <w:rsid w:val="003C55C8"/>
    <w:rsid w:val="003C5F2C"/>
    <w:rsid w:val="003D5221"/>
    <w:rsid w:val="003D5A06"/>
    <w:rsid w:val="003D6F32"/>
    <w:rsid w:val="003D7C85"/>
    <w:rsid w:val="003F16F3"/>
    <w:rsid w:val="003F249C"/>
    <w:rsid w:val="003F56A7"/>
    <w:rsid w:val="00403541"/>
    <w:rsid w:val="004054D4"/>
    <w:rsid w:val="00407952"/>
    <w:rsid w:val="00407D93"/>
    <w:rsid w:val="00413CC2"/>
    <w:rsid w:val="00414810"/>
    <w:rsid w:val="0041500C"/>
    <w:rsid w:val="00416439"/>
    <w:rsid w:val="004171C1"/>
    <w:rsid w:val="00420A6E"/>
    <w:rsid w:val="004218DF"/>
    <w:rsid w:val="00422162"/>
    <w:rsid w:val="00430D8D"/>
    <w:rsid w:val="00431100"/>
    <w:rsid w:val="00431175"/>
    <w:rsid w:val="00434941"/>
    <w:rsid w:val="004353F4"/>
    <w:rsid w:val="004408BF"/>
    <w:rsid w:val="00444F3F"/>
    <w:rsid w:val="004479B9"/>
    <w:rsid w:val="00450AEC"/>
    <w:rsid w:val="00456AFA"/>
    <w:rsid w:val="004577A4"/>
    <w:rsid w:val="0046218B"/>
    <w:rsid w:val="00464570"/>
    <w:rsid w:val="00464E15"/>
    <w:rsid w:val="00466275"/>
    <w:rsid w:val="00467564"/>
    <w:rsid w:val="00475FA2"/>
    <w:rsid w:val="00476330"/>
    <w:rsid w:val="00477CCF"/>
    <w:rsid w:val="004A759E"/>
    <w:rsid w:val="004B2EC0"/>
    <w:rsid w:val="004B5410"/>
    <w:rsid w:val="004B5AC1"/>
    <w:rsid w:val="004B5D70"/>
    <w:rsid w:val="004B6F29"/>
    <w:rsid w:val="004B7B95"/>
    <w:rsid w:val="004C08F6"/>
    <w:rsid w:val="004C376C"/>
    <w:rsid w:val="004C3D13"/>
    <w:rsid w:val="004C569B"/>
    <w:rsid w:val="004C6688"/>
    <w:rsid w:val="004D08DC"/>
    <w:rsid w:val="004D1AB2"/>
    <w:rsid w:val="004D42A5"/>
    <w:rsid w:val="004D6810"/>
    <w:rsid w:val="004E150F"/>
    <w:rsid w:val="004E57B4"/>
    <w:rsid w:val="004E6B7D"/>
    <w:rsid w:val="004E7DAB"/>
    <w:rsid w:val="004F01AC"/>
    <w:rsid w:val="004F03ED"/>
    <w:rsid w:val="004F13A0"/>
    <w:rsid w:val="004F3176"/>
    <w:rsid w:val="004F4DF4"/>
    <w:rsid w:val="00500012"/>
    <w:rsid w:val="0050056A"/>
    <w:rsid w:val="00501A1B"/>
    <w:rsid w:val="00505B56"/>
    <w:rsid w:val="0051262C"/>
    <w:rsid w:val="00512A1E"/>
    <w:rsid w:val="00514724"/>
    <w:rsid w:val="00516CCD"/>
    <w:rsid w:val="005246EB"/>
    <w:rsid w:val="005313D4"/>
    <w:rsid w:val="00533F01"/>
    <w:rsid w:val="00543568"/>
    <w:rsid w:val="005438AA"/>
    <w:rsid w:val="005463A2"/>
    <w:rsid w:val="00552C91"/>
    <w:rsid w:val="00554D45"/>
    <w:rsid w:val="00556CD9"/>
    <w:rsid w:val="0056021A"/>
    <w:rsid w:val="00563100"/>
    <w:rsid w:val="005737B2"/>
    <w:rsid w:val="005803C9"/>
    <w:rsid w:val="005804D6"/>
    <w:rsid w:val="00580CEC"/>
    <w:rsid w:val="005868EE"/>
    <w:rsid w:val="00587D8E"/>
    <w:rsid w:val="00590B36"/>
    <w:rsid w:val="00595767"/>
    <w:rsid w:val="00595CC1"/>
    <w:rsid w:val="005A20A1"/>
    <w:rsid w:val="005A217A"/>
    <w:rsid w:val="005A2E14"/>
    <w:rsid w:val="005A5B86"/>
    <w:rsid w:val="005A7237"/>
    <w:rsid w:val="005A7645"/>
    <w:rsid w:val="005B297D"/>
    <w:rsid w:val="005C0BED"/>
    <w:rsid w:val="005C198B"/>
    <w:rsid w:val="005C2933"/>
    <w:rsid w:val="005C45FA"/>
    <w:rsid w:val="005D1657"/>
    <w:rsid w:val="005D18BE"/>
    <w:rsid w:val="005D1D87"/>
    <w:rsid w:val="005D60C9"/>
    <w:rsid w:val="005D6806"/>
    <w:rsid w:val="005E16C2"/>
    <w:rsid w:val="005E43EC"/>
    <w:rsid w:val="005F47A6"/>
    <w:rsid w:val="00603427"/>
    <w:rsid w:val="006035E9"/>
    <w:rsid w:val="00604368"/>
    <w:rsid w:val="00612C77"/>
    <w:rsid w:val="00613A90"/>
    <w:rsid w:val="006161A0"/>
    <w:rsid w:val="006175EA"/>
    <w:rsid w:val="00630B2A"/>
    <w:rsid w:val="00631738"/>
    <w:rsid w:val="00632D53"/>
    <w:rsid w:val="006345FE"/>
    <w:rsid w:val="006424A2"/>
    <w:rsid w:val="00645008"/>
    <w:rsid w:val="00645825"/>
    <w:rsid w:val="006463C0"/>
    <w:rsid w:val="00651176"/>
    <w:rsid w:val="006513B0"/>
    <w:rsid w:val="00666B17"/>
    <w:rsid w:val="006707B0"/>
    <w:rsid w:val="006737B6"/>
    <w:rsid w:val="00674C80"/>
    <w:rsid w:val="00676768"/>
    <w:rsid w:val="006768FB"/>
    <w:rsid w:val="0068047C"/>
    <w:rsid w:val="00683BD3"/>
    <w:rsid w:val="006865E8"/>
    <w:rsid w:val="0068751C"/>
    <w:rsid w:val="00695EB8"/>
    <w:rsid w:val="006A02F2"/>
    <w:rsid w:val="006A5970"/>
    <w:rsid w:val="006B16E3"/>
    <w:rsid w:val="006B2453"/>
    <w:rsid w:val="006B30DC"/>
    <w:rsid w:val="006B51D5"/>
    <w:rsid w:val="006C21C3"/>
    <w:rsid w:val="006C2B66"/>
    <w:rsid w:val="006C3E81"/>
    <w:rsid w:val="006D7604"/>
    <w:rsid w:val="006E09CF"/>
    <w:rsid w:val="006E1FB5"/>
    <w:rsid w:val="006E4461"/>
    <w:rsid w:val="006E62C0"/>
    <w:rsid w:val="006E6E47"/>
    <w:rsid w:val="006E719B"/>
    <w:rsid w:val="006F4F62"/>
    <w:rsid w:val="00702415"/>
    <w:rsid w:val="0070316B"/>
    <w:rsid w:val="00705499"/>
    <w:rsid w:val="00705DD9"/>
    <w:rsid w:val="00707F61"/>
    <w:rsid w:val="007101B5"/>
    <w:rsid w:val="00710910"/>
    <w:rsid w:val="00711A18"/>
    <w:rsid w:val="007130F5"/>
    <w:rsid w:val="0071347B"/>
    <w:rsid w:val="00714993"/>
    <w:rsid w:val="00722496"/>
    <w:rsid w:val="0072363B"/>
    <w:rsid w:val="007248F3"/>
    <w:rsid w:val="00725069"/>
    <w:rsid w:val="00727324"/>
    <w:rsid w:val="00734876"/>
    <w:rsid w:val="007363CB"/>
    <w:rsid w:val="007428F5"/>
    <w:rsid w:val="00744AB7"/>
    <w:rsid w:val="0074549B"/>
    <w:rsid w:val="00746D98"/>
    <w:rsid w:val="00747B61"/>
    <w:rsid w:val="00747D7A"/>
    <w:rsid w:val="00755521"/>
    <w:rsid w:val="00757988"/>
    <w:rsid w:val="00757A47"/>
    <w:rsid w:val="0076133A"/>
    <w:rsid w:val="00762CFD"/>
    <w:rsid w:val="00762F9F"/>
    <w:rsid w:val="00771431"/>
    <w:rsid w:val="007718BF"/>
    <w:rsid w:val="0077682E"/>
    <w:rsid w:val="007911DE"/>
    <w:rsid w:val="00791C00"/>
    <w:rsid w:val="0079243E"/>
    <w:rsid w:val="0079589E"/>
    <w:rsid w:val="00795C53"/>
    <w:rsid w:val="00796239"/>
    <w:rsid w:val="00796704"/>
    <w:rsid w:val="007970D5"/>
    <w:rsid w:val="00797D7F"/>
    <w:rsid w:val="007A330E"/>
    <w:rsid w:val="007A4419"/>
    <w:rsid w:val="007A4D2E"/>
    <w:rsid w:val="007A4D96"/>
    <w:rsid w:val="007B51C8"/>
    <w:rsid w:val="007C494E"/>
    <w:rsid w:val="007C5984"/>
    <w:rsid w:val="007D1D97"/>
    <w:rsid w:val="007D41CE"/>
    <w:rsid w:val="007D5B2D"/>
    <w:rsid w:val="007D5C26"/>
    <w:rsid w:val="007D71AA"/>
    <w:rsid w:val="007E43A2"/>
    <w:rsid w:val="007E4518"/>
    <w:rsid w:val="007E49C5"/>
    <w:rsid w:val="007E69E1"/>
    <w:rsid w:val="007F0F9F"/>
    <w:rsid w:val="007F246D"/>
    <w:rsid w:val="007F4199"/>
    <w:rsid w:val="007F4977"/>
    <w:rsid w:val="007F52B6"/>
    <w:rsid w:val="007F5539"/>
    <w:rsid w:val="008027E4"/>
    <w:rsid w:val="00807C76"/>
    <w:rsid w:val="0081088D"/>
    <w:rsid w:val="00816D31"/>
    <w:rsid w:val="00817D34"/>
    <w:rsid w:val="008360CF"/>
    <w:rsid w:val="008427DD"/>
    <w:rsid w:val="0084409B"/>
    <w:rsid w:val="00844276"/>
    <w:rsid w:val="00850C77"/>
    <w:rsid w:val="00851DCE"/>
    <w:rsid w:val="008546D3"/>
    <w:rsid w:val="008555D8"/>
    <w:rsid w:val="00856C0A"/>
    <w:rsid w:val="008571B9"/>
    <w:rsid w:val="00865ABD"/>
    <w:rsid w:val="00871127"/>
    <w:rsid w:val="0087662F"/>
    <w:rsid w:val="00877416"/>
    <w:rsid w:val="00877925"/>
    <w:rsid w:val="00881932"/>
    <w:rsid w:val="00886150"/>
    <w:rsid w:val="008923EC"/>
    <w:rsid w:val="00892A0D"/>
    <w:rsid w:val="00895428"/>
    <w:rsid w:val="0089662C"/>
    <w:rsid w:val="008A08E4"/>
    <w:rsid w:val="008B017E"/>
    <w:rsid w:val="008B0EDD"/>
    <w:rsid w:val="008B208B"/>
    <w:rsid w:val="008B4CD0"/>
    <w:rsid w:val="008B5D8C"/>
    <w:rsid w:val="008C5DE4"/>
    <w:rsid w:val="008C715D"/>
    <w:rsid w:val="008C773D"/>
    <w:rsid w:val="008C7877"/>
    <w:rsid w:val="008D0068"/>
    <w:rsid w:val="008D2710"/>
    <w:rsid w:val="008D7D91"/>
    <w:rsid w:val="008D7F33"/>
    <w:rsid w:val="008E0FB5"/>
    <w:rsid w:val="008E558D"/>
    <w:rsid w:val="008E73F0"/>
    <w:rsid w:val="008F043F"/>
    <w:rsid w:val="008F0F3D"/>
    <w:rsid w:val="008F3F5B"/>
    <w:rsid w:val="009041C0"/>
    <w:rsid w:val="009075F5"/>
    <w:rsid w:val="00915DF8"/>
    <w:rsid w:val="00920703"/>
    <w:rsid w:val="00920ABB"/>
    <w:rsid w:val="00920E9F"/>
    <w:rsid w:val="009218F4"/>
    <w:rsid w:val="009239C2"/>
    <w:rsid w:val="00925A54"/>
    <w:rsid w:val="0093156B"/>
    <w:rsid w:val="00932D19"/>
    <w:rsid w:val="00933ACF"/>
    <w:rsid w:val="00935F9D"/>
    <w:rsid w:val="009400FB"/>
    <w:rsid w:val="00945171"/>
    <w:rsid w:val="00950DE8"/>
    <w:rsid w:val="009536A4"/>
    <w:rsid w:val="0095610A"/>
    <w:rsid w:val="009571E6"/>
    <w:rsid w:val="00957458"/>
    <w:rsid w:val="00957887"/>
    <w:rsid w:val="0096727B"/>
    <w:rsid w:val="009707EC"/>
    <w:rsid w:val="00970D1A"/>
    <w:rsid w:val="00975C8D"/>
    <w:rsid w:val="00980F09"/>
    <w:rsid w:val="009816D5"/>
    <w:rsid w:val="0098645F"/>
    <w:rsid w:val="0099712E"/>
    <w:rsid w:val="009A06FA"/>
    <w:rsid w:val="009A0DAF"/>
    <w:rsid w:val="009A15C8"/>
    <w:rsid w:val="009A3227"/>
    <w:rsid w:val="009B078A"/>
    <w:rsid w:val="009B0B46"/>
    <w:rsid w:val="009C05AF"/>
    <w:rsid w:val="009C1DD5"/>
    <w:rsid w:val="009C1ED5"/>
    <w:rsid w:val="009C57C9"/>
    <w:rsid w:val="009C7DAE"/>
    <w:rsid w:val="009D0FF9"/>
    <w:rsid w:val="009D2140"/>
    <w:rsid w:val="009D3BD2"/>
    <w:rsid w:val="009D3C4E"/>
    <w:rsid w:val="009D4312"/>
    <w:rsid w:val="009D7352"/>
    <w:rsid w:val="009E2078"/>
    <w:rsid w:val="009E7D18"/>
    <w:rsid w:val="009F163D"/>
    <w:rsid w:val="009F461D"/>
    <w:rsid w:val="009F4898"/>
    <w:rsid w:val="009F630B"/>
    <w:rsid w:val="009F7152"/>
    <w:rsid w:val="009F7C02"/>
    <w:rsid w:val="00A0038A"/>
    <w:rsid w:val="00A00CC1"/>
    <w:rsid w:val="00A0167F"/>
    <w:rsid w:val="00A023D9"/>
    <w:rsid w:val="00A05B8F"/>
    <w:rsid w:val="00A06E05"/>
    <w:rsid w:val="00A145B0"/>
    <w:rsid w:val="00A17222"/>
    <w:rsid w:val="00A23F95"/>
    <w:rsid w:val="00A24AF9"/>
    <w:rsid w:val="00A2640D"/>
    <w:rsid w:val="00A26526"/>
    <w:rsid w:val="00A26BA9"/>
    <w:rsid w:val="00A308B4"/>
    <w:rsid w:val="00A323C1"/>
    <w:rsid w:val="00A32737"/>
    <w:rsid w:val="00A33D9E"/>
    <w:rsid w:val="00A33F74"/>
    <w:rsid w:val="00A373CB"/>
    <w:rsid w:val="00A4108C"/>
    <w:rsid w:val="00A4214E"/>
    <w:rsid w:val="00A44C17"/>
    <w:rsid w:val="00A44C28"/>
    <w:rsid w:val="00A47BD3"/>
    <w:rsid w:val="00A50C96"/>
    <w:rsid w:val="00A51112"/>
    <w:rsid w:val="00A5298B"/>
    <w:rsid w:val="00A532E0"/>
    <w:rsid w:val="00A5533D"/>
    <w:rsid w:val="00A56390"/>
    <w:rsid w:val="00A57DA0"/>
    <w:rsid w:val="00A57DA7"/>
    <w:rsid w:val="00A60E9A"/>
    <w:rsid w:val="00A620C1"/>
    <w:rsid w:val="00A63E7B"/>
    <w:rsid w:val="00A647BA"/>
    <w:rsid w:val="00A64B3A"/>
    <w:rsid w:val="00A667D7"/>
    <w:rsid w:val="00A67687"/>
    <w:rsid w:val="00A71FB3"/>
    <w:rsid w:val="00A732A4"/>
    <w:rsid w:val="00A77087"/>
    <w:rsid w:val="00A81652"/>
    <w:rsid w:val="00A824A2"/>
    <w:rsid w:val="00A82A94"/>
    <w:rsid w:val="00A90A79"/>
    <w:rsid w:val="00A919D6"/>
    <w:rsid w:val="00A93189"/>
    <w:rsid w:val="00A93420"/>
    <w:rsid w:val="00A93A2A"/>
    <w:rsid w:val="00AA0841"/>
    <w:rsid w:val="00AA437A"/>
    <w:rsid w:val="00AA46BB"/>
    <w:rsid w:val="00AA560E"/>
    <w:rsid w:val="00AA5683"/>
    <w:rsid w:val="00AA56AC"/>
    <w:rsid w:val="00AA67EA"/>
    <w:rsid w:val="00AB0F6D"/>
    <w:rsid w:val="00AB2501"/>
    <w:rsid w:val="00AB2D86"/>
    <w:rsid w:val="00AB32DF"/>
    <w:rsid w:val="00AC105A"/>
    <w:rsid w:val="00AC140E"/>
    <w:rsid w:val="00AC3BCD"/>
    <w:rsid w:val="00AD2973"/>
    <w:rsid w:val="00AD73E0"/>
    <w:rsid w:val="00AE50A0"/>
    <w:rsid w:val="00AF5574"/>
    <w:rsid w:val="00AF62CF"/>
    <w:rsid w:val="00AF7157"/>
    <w:rsid w:val="00AF7387"/>
    <w:rsid w:val="00B00C8F"/>
    <w:rsid w:val="00B0218A"/>
    <w:rsid w:val="00B04043"/>
    <w:rsid w:val="00B110CB"/>
    <w:rsid w:val="00B1142E"/>
    <w:rsid w:val="00B1465B"/>
    <w:rsid w:val="00B1475C"/>
    <w:rsid w:val="00B1541A"/>
    <w:rsid w:val="00B156C7"/>
    <w:rsid w:val="00B206EE"/>
    <w:rsid w:val="00B33CE4"/>
    <w:rsid w:val="00B374AF"/>
    <w:rsid w:val="00B40C2B"/>
    <w:rsid w:val="00B43E3D"/>
    <w:rsid w:val="00B4518E"/>
    <w:rsid w:val="00B456DD"/>
    <w:rsid w:val="00B45CDA"/>
    <w:rsid w:val="00B517DF"/>
    <w:rsid w:val="00B530B9"/>
    <w:rsid w:val="00B55419"/>
    <w:rsid w:val="00B56E3F"/>
    <w:rsid w:val="00B607C4"/>
    <w:rsid w:val="00B6488A"/>
    <w:rsid w:val="00B6739E"/>
    <w:rsid w:val="00B736EB"/>
    <w:rsid w:val="00B73E7F"/>
    <w:rsid w:val="00B73F86"/>
    <w:rsid w:val="00B753C4"/>
    <w:rsid w:val="00B75A54"/>
    <w:rsid w:val="00B7758B"/>
    <w:rsid w:val="00B840D3"/>
    <w:rsid w:val="00B85814"/>
    <w:rsid w:val="00B918D2"/>
    <w:rsid w:val="00B9221A"/>
    <w:rsid w:val="00B9236A"/>
    <w:rsid w:val="00B94F38"/>
    <w:rsid w:val="00B95B77"/>
    <w:rsid w:val="00B96B20"/>
    <w:rsid w:val="00BA22E3"/>
    <w:rsid w:val="00BA4AC4"/>
    <w:rsid w:val="00BA5D05"/>
    <w:rsid w:val="00BA6FB7"/>
    <w:rsid w:val="00BA759E"/>
    <w:rsid w:val="00BA7760"/>
    <w:rsid w:val="00BB1150"/>
    <w:rsid w:val="00BB2466"/>
    <w:rsid w:val="00BB3B77"/>
    <w:rsid w:val="00BB565F"/>
    <w:rsid w:val="00BB64AD"/>
    <w:rsid w:val="00BC1C36"/>
    <w:rsid w:val="00BC6463"/>
    <w:rsid w:val="00BC66DC"/>
    <w:rsid w:val="00BD00CE"/>
    <w:rsid w:val="00BD0DD8"/>
    <w:rsid w:val="00BD1EA2"/>
    <w:rsid w:val="00BE4133"/>
    <w:rsid w:val="00BE5165"/>
    <w:rsid w:val="00BF1987"/>
    <w:rsid w:val="00BF52F7"/>
    <w:rsid w:val="00BF55B0"/>
    <w:rsid w:val="00BF6C62"/>
    <w:rsid w:val="00BF7946"/>
    <w:rsid w:val="00C025B4"/>
    <w:rsid w:val="00C048D5"/>
    <w:rsid w:val="00C14835"/>
    <w:rsid w:val="00C17317"/>
    <w:rsid w:val="00C2138C"/>
    <w:rsid w:val="00C21541"/>
    <w:rsid w:val="00C21ACF"/>
    <w:rsid w:val="00C24E3F"/>
    <w:rsid w:val="00C27CC6"/>
    <w:rsid w:val="00C37209"/>
    <w:rsid w:val="00C52183"/>
    <w:rsid w:val="00C52FC6"/>
    <w:rsid w:val="00C550A7"/>
    <w:rsid w:val="00C5550B"/>
    <w:rsid w:val="00C5677B"/>
    <w:rsid w:val="00C56FC7"/>
    <w:rsid w:val="00C73ABD"/>
    <w:rsid w:val="00C75C38"/>
    <w:rsid w:val="00C80949"/>
    <w:rsid w:val="00C91A08"/>
    <w:rsid w:val="00C92F47"/>
    <w:rsid w:val="00C934CC"/>
    <w:rsid w:val="00C938C3"/>
    <w:rsid w:val="00C94E26"/>
    <w:rsid w:val="00C9553D"/>
    <w:rsid w:val="00CA379E"/>
    <w:rsid w:val="00CA3A53"/>
    <w:rsid w:val="00CA48D1"/>
    <w:rsid w:val="00CA4C92"/>
    <w:rsid w:val="00CB78F1"/>
    <w:rsid w:val="00CC281F"/>
    <w:rsid w:val="00CC3268"/>
    <w:rsid w:val="00CC7A37"/>
    <w:rsid w:val="00CD088C"/>
    <w:rsid w:val="00CD2A76"/>
    <w:rsid w:val="00CD39BA"/>
    <w:rsid w:val="00CD7A48"/>
    <w:rsid w:val="00CE0EDE"/>
    <w:rsid w:val="00CE532E"/>
    <w:rsid w:val="00CE7A19"/>
    <w:rsid w:val="00CF3F3C"/>
    <w:rsid w:val="00CF64C7"/>
    <w:rsid w:val="00D02F25"/>
    <w:rsid w:val="00D132E0"/>
    <w:rsid w:val="00D140FD"/>
    <w:rsid w:val="00D1452A"/>
    <w:rsid w:val="00D15841"/>
    <w:rsid w:val="00D1684F"/>
    <w:rsid w:val="00D16AF1"/>
    <w:rsid w:val="00D22CEC"/>
    <w:rsid w:val="00D231AD"/>
    <w:rsid w:val="00D23867"/>
    <w:rsid w:val="00D2393A"/>
    <w:rsid w:val="00D263CA"/>
    <w:rsid w:val="00D272B3"/>
    <w:rsid w:val="00D27E90"/>
    <w:rsid w:val="00D3641A"/>
    <w:rsid w:val="00D41704"/>
    <w:rsid w:val="00D46C8A"/>
    <w:rsid w:val="00D53A7F"/>
    <w:rsid w:val="00D54393"/>
    <w:rsid w:val="00D554A7"/>
    <w:rsid w:val="00D56B58"/>
    <w:rsid w:val="00D61ADD"/>
    <w:rsid w:val="00D63666"/>
    <w:rsid w:val="00D64735"/>
    <w:rsid w:val="00D64B65"/>
    <w:rsid w:val="00D659A8"/>
    <w:rsid w:val="00D7117E"/>
    <w:rsid w:val="00D731DB"/>
    <w:rsid w:val="00D75CAE"/>
    <w:rsid w:val="00D80FE1"/>
    <w:rsid w:val="00D87021"/>
    <w:rsid w:val="00D93C42"/>
    <w:rsid w:val="00DA5753"/>
    <w:rsid w:val="00DB0C86"/>
    <w:rsid w:val="00DB1103"/>
    <w:rsid w:val="00DB11A9"/>
    <w:rsid w:val="00DB40A9"/>
    <w:rsid w:val="00DB44DB"/>
    <w:rsid w:val="00DB7048"/>
    <w:rsid w:val="00DC216B"/>
    <w:rsid w:val="00DC242B"/>
    <w:rsid w:val="00DC56C7"/>
    <w:rsid w:val="00DD065A"/>
    <w:rsid w:val="00DD1953"/>
    <w:rsid w:val="00DD5ADE"/>
    <w:rsid w:val="00DF0BA4"/>
    <w:rsid w:val="00DF1B27"/>
    <w:rsid w:val="00DF6631"/>
    <w:rsid w:val="00DF70F1"/>
    <w:rsid w:val="00DF79D2"/>
    <w:rsid w:val="00E0184E"/>
    <w:rsid w:val="00E11BB4"/>
    <w:rsid w:val="00E216E8"/>
    <w:rsid w:val="00E234B3"/>
    <w:rsid w:val="00E247DB"/>
    <w:rsid w:val="00E24B35"/>
    <w:rsid w:val="00E3120F"/>
    <w:rsid w:val="00E347D1"/>
    <w:rsid w:val="00E34DED"/>
    <w:rsid w:val="00E35908"/>
    <w:rsid w:val="00E4245F"/>
    <w:rsid w:val="00E443D8"/>
    <w:rsid w:val="00E45EF1"/>
    <w:rsid w:val="00E503A6"/>
    <w:rsid w:val="00E5317C"/>
    <w:rsid w:val="00E54F0F"/>
    <w:rsid w:val="00E61CBD"/>
    <w:rsid w:val="00E6283E"/>
    <w:rsid w:val="00E64FB4"/>
    <w:rsid w:val="00E659F7"/>
    <w:rsid w:val="00E67DF8"/>
    <w:rsid w:val="00E67E78"/>
    <w:rsid w:val="00E67FA7"/>
    <w:rsid w:val="00E700E2"/>
    <w:rsid w:val="00E71932"/>
    <w:rsid w:val="00E732EF"/>
    <w:rsid w:val="00E755D1"/>
    <w:rsid w:val="00E81115"/>
    <w:rsid w:val="00E865F4"/>
    <w:rsid w:val="00E90B02"/>
    <w:rsid w:val="00E94CB3"/>
    <w:rsid w:val="00E95111"/>
    <w:rsid w:val="00E97D24"/>
    <w:rsid w:val="00EA2EBE"/>
    <w:rsid w:val="00EA5AF4"/>
    <w:rsid w:val="00EA781F"/>
    <w:rsid w:val="00EB157D"/>
    <w:rsid w:val="00EB248E"/>
    <w:rsid w:val="00EB3FA6"/>
    <w:rsid w:val="00EC36FD"/>
    <w:rsid w:val="00EC3BE6"/>
    <w:rsid w:val="00EC629B"/>
    <w:rsid w:val="00ED0C92"/>
    <w:rsid w:val="00ED1136"/>
    <w:rsid w:val="00ED18C4"/>
    <w:rsid w:val="00ED38D1"/>
    <w:rsid w:val="00ED61D2"/>
    <w:rsid w:val="00ED6B10"/>
    <w:rsid w:val="00ED7A14"/>
    <w:rsid w:val="00EE1FA8"/>
    <w:rsid w:val="00EE7323"/>
    <w:rsid w:val="00EF3315"/>
    <w:rsid w:val="00EF6960"/>
    <w:rsid w:val="00EF75CE"/>
    <w:rsid w:val="00F057C0"/>
    <w:rsid w:val="00F0607A"/>
    <w:rsid w:val="00F0734B"/>
    <w:rsid w:val="00F11210"/>
    <w:rsid w:val="00F11FA8"/>
    <w:rsid w:val="00F133F2"/>
    <w:rsid w:val="00F173AA"/>
    <w:rsid w:val="00F24EE3"/>
    <w:rsid w:val="00F37A10"/>
    <w:rsid w:val="00F407DD"/>
    <w:rsid w:val="00F42F47"/>
    <w:rsid w:val="00F457A4"/>
    <w:rsid w:val="00F4747F"/>
    <w:rsid w:val="00F533F3"/>
    <w:rsid w:val="00F54C51"/>
    <w:rsid w:val="00F560DE"/>
    <w:rsid w:val="00F62D3B"/>
    <w:rsid w:val="00F6314E"/>
    <w:rsid w:val="00F65087"/>
    <w:rsid w:val="00F6766D"/>
    <w:rsid w:val="00F70134"/>
    <w:rsid w:val="00F77386"/>
    <w:rsid w:val="00F800A6"/>
    <w:rsid w:val="00F816A3"/>
    <w:rsid w:val="00F81735"/>
    <w:rsid w:val="00F8327A"/>
    <w:rsid w:val="00F86EA3"/>
    <w:rsid w:val="00F905D8"/>
    <w:rsid w:val="00F92A01"/>
    <w:rsid w:val="00F933D1"/>
    <w:rsid w:val="00F94C9C"/>
    <w:rsid w:val="00F9535C"/>
    <w:rsid w:val="00F95488"/>
    <w:rsid w:val="00F96029"/>
    <w:rsid w:val="00FA1416"/>
    <w:rsid w:val="00FA44EA"/>
    <w:rsid w:val="00FA4781"/>
    <w:rsid w:val="00FA4AA4"/>
    <w:rsid w:val="00FB16DB"/>
    <w:rsid w:val="00FB2F75"/>
    <w:rsid w:val="00FC1BA5"/>
    <w:rsid w:val="00FC2FB3"/>
    <w:rsid w:val="00FC3A9A"/>
    <w:rsid w:val="00FC408C"/>
    <w:rsid w:val="00FC422E"/>
    <w:rsid w:val="00FD1C4A"/>
    <w:rsid w:val="00FD1ED5"/>
    <w:rsid w:val="00FD2290"/>
    <w:rsid w:val="00FD4908"/>
    <w:rsid w:val="00FE0A16"/>
    <w:rsid w:val="00FE4AED"/>
    <w:rsid w:val="00FF4F34"/>
    <w:rsid w:val="00FF6D26"/>
    <w:rsid w:val="00FF7830"/>
    <w:rsid w:val="00FF7AD8"/>
    <w:rsid w:val="00FF7E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62A0"/>
  <w15:docId w15:val="{CA470487-D9E1-4A19-AFA1-9E767F9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DED"/>
    <w:rPr>
      <w:sz w:val="24"/>
      <w:szCs w:val="24"/>
      <w:lang w:val="ru-RU" w:eastAsia="ru-RU"/>
    </w:rPr>
  </w:style>
  <w:style w:type="paragraph" w:styleId="1">
    <w:name w:val="heading 1"/>
    <w:basedOn w:val="a"/>
    <w:next w:val="a"/>
    <w:link w:val="10"/>
    <w:qFormat/>
    <w:rsid w:val="00A24AF9"/>
    <w:pPr>
      <w:keepNext/>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24AF9"/>
    <w:pPr>
      <w:widowControl w:val="0"/>
      <w:ind w:firstLine="720"/>
      <w:jc w:val="both"/>
    </w:pPr>
    <w:rPr>
      <w:b/>
      <w:snapToGrid w:val="0"/>
      <w:szCs w:val="20"/>
      <w:lang w:val="uk-UA" w:eastAsia="en-US"/>
    </w:rPr>
  </w:style>
  <w:style w:type="paragraph" w:styleId="a3">
    <w:name w:val="Body Text"/>
    <w:basedOn w:val="a"/>
    <w:link w:val="a4"/>
    <w:rsid w:val="00A24AF9"/>
    <w:pPr>
      <w:widowControl w:val="0"/>
      <w:jc w:val="both"/>
    </w:pPr>
    <w:rPr>
      <w:b/>
      <w:snapToGrid w:val="0"/>
      <w:szCs w:val="20"/>
      <w:lang w:val="uk-UA" w:eastAsia="en-US"/>
    </w:rPr>
  </w:style>
  <w:style w:type="character" w:customStyle="1" w:styleId="10">
    <w:name w:val="Заголовок 1 Знак"/>
    <w:link w:val="1"/>
    <w:rsid w:val="00A24AF9"/>
    <w:rPr>
      <w:b/>
      <w:bCs/>
      <w:sz w:val="24"/>
      <w:szCs w:val="24"/>
      <w:lang w:val="ru-RU" w:eastAsia="en-US" w:bidi="ar-SA"/>
    </w:rPr>
  </w:style>
  <w:style w:type="character" w:styleId="a5">
    <w:name w:val="line number"/>
    <w:basedOn w:val="a0"/>
    <w:rsid w:val="00A24AF9"/>
  </w:style>
  <w:style w:type="paragraph" w:styleId="a6">
    <w:name w:val="header"/>
    <w:basedOn w:val="a"/>
    <w:link w:val="a7"/>
    <w:uiPriority w:val="99"/>
    <w:rsid w:val="00A24AF9"/>
    <w:pPr>
      <w:tabs>
        <w:tab w:val="center" w:pos="4819"/>
        <w:tab w:val="right" w:pos="9639"/>
      </w:tabs>
    </w:pPr>
  </w:style>
  <w:style w:type="paragraph" w:styleId="a8">
    <w:name w:val="footer"/>
    <w:basedOn w:val="a"/>
    <w:link w:val="a9"/>
    <w:uiPriority w:val="99"/>
    <w:rsid w:val="00A24AF9"/>
    <w:pPr>
      <w:tabs>
        <w:tab w:val="center" w:pos="4819"/>
        <w:tab w:val="right" w:pos="9639"/>
      </w:tabs>
    </w:pPr>
  </w:style>
  <w:style w:type="character" w:styleId="aa">
    <w:name w:val="page number"/>
    <w:basedOn w:val="a0"/>
    <w:rsid w:val="00A24AF9"/>
  </w:style>
  <w:style w:type="paragraph" w:styleId="ab">
    <w:name w:val="Normal (Web)"/>
    <w:basedOn w:val="a"/>
    <w:rsid w:val="008360CF"/>
    <w:pPr>
      <w:spacing w:before="100" w:beforeAutospacing="1" w:after="100" w:afterAutospacing="1"/>
    </w:pPr>
    <w:rPr>
      <w:lang w:val="uk-UA" w:eastAsia="uk-UA"/>
    </w:rPr>
  </w:style>
  <w:style w:type="character" w:customStyle="1" w:styleId="FontStyle13">
    <w:name w:val="Font Style13"/>
    <w:uiPriority w:val="99"/>
    <w:rsid w:val="00797D7F"/>
    <w:rPr>
      <w:rFonts w:ascii="Times New Roman" w:hAnsi="Times New Roman" w:cs="Times New Roman"/>
      <w:sz w:val="20"/>
      <w:szCs w:val="20"/>
    </w:rPr>
  </w:style>
  <w:style w:type="character" w:customStyle="1" w:styleId="FontStyle14">
    <w:name w:val="Font Style14"/>
    <w:rsid w:val="00797D7F"/>
    <w:rPr>
      <w:rFonts w:ascii="Times New Roman" w:hAnsi="Times New Roman" w:cs="Times New Roman"/>
      <w:b/>
      <w:bCs/>
      <w:sz w:val="20"/>
      <w:szCs w:val="20"/>
    </w:rPr>
  </w:style>
  <w:style w:type="character" w:customStyle="1" w:styleId="a4">
    <w:name w:val="Основний текст Знак"/>
    <w:link w:val="a3"/>
    <w:rsid w:val="009041C0"/>
    <w:rPr>
      <w:b/>
      <w:snapToGrid w:val="0"/>
      <w:sz w:val="24"/>
      <w:lang w:eastAsia="en-US"/>
    </w:rPr>
  </w:style>
  <w:style w:type="table" w:styleId="ac">
    <w:name w:val="Table Grid"/>
    <w:basedOn w:val="a1"/>
    <w:uiPriority w:val="59"/>
    <w:rsid w:val="005D1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 Style11"/>
    <w:uiPriority w:val="99"/>
    <w:rsid w:val="00B9236A"/>
    <w:rPr>
      <w:rFonts w:ascii="Times New Roman" w:hAnsi="Times New Roman" w:cs="Times New Roman"/>
      <w:sz w:val="20"/>
      <w:szCs w:val="20"/>
    </w:rPr>
  </w:style>
  <w:style w:type="character" w:customStyle="1" w:styleId="FontStyle12">
    <w:name w:val="Font Style12"/>
    <w:rsid w:val="003D7C85"/>
    <w:rPr>
      <w:rFonts w:ascii="Times New Roman" w:hAnsi="Times New Roman" w:cs="Times New Roman"/>
      <w:sz w:val="20"/>
      <w:szCs w:val="20"/>
    </w:rPr>
  </w:style>
  <w:style w:type="paragraph" w:customStyle="1" w:styleId="Style10">
    <w:name w:val="Style10"/>
    <w:basedOn w:val="a"/>
    <w:uiPriority w:val="99"/>
    <w:rsid w:val="002D75E3"/>
    <w:pPr>
      <w:widowControl w:val="0"/>
      <w:autoSpaceDE w:val="0"/>
      <w:autoSpaceDN w:val="0"/>
      <w:adjustRightInd w:val="0"/>
      <w:spacing w:line="230" w:lineRule="exact"/>
    </w:pPr>
    <w:rPr>
      <w:rFonts w:ascii="Courier New" w:hAnsi="Courier New" w:cs="Courier New"/>
    </w:rPr>
  </w:style>
  <w:style w:type="paragraph" w:customStyle="1" w:styleId="Style8">
    <w:name w:val="Style8"/>
    <w:basedOn w:val="a"/>
    <w:uiPriority w:val="99"/>
    <w:rsid w:val="00184145"/>
    <w:pPr>
      <w:widowControl w:val="0"/>
      <w:autoSpaceDE w:val="0"/>
      <w:autoSpaceDN w:val="0"/>
      <w:adjustRightInd w:val="0"/>
      <w:spacing w:line="245" w:lineRule="exact"/>
      <w:jc w:val="both"/>
    </w:pPr>
    <w:rPr>
      <w:rFonts w:ascii="Courier New" w:hAnsi="Courier New" w:cs="Courier New"/>
    </w:rPr>
  </w:style>
  <w:style w:type="paragraph" w:customStyle="1" w:styleId="Style9">
    <w:name w:val="Style9"/>
    <w:basedOn w:val="a"/>
    <w:uiPriority w:val="99"/>
    <w:rsid w:val="00184145"/>
    <w:pPr>
      <w:widowControl w:val="0"/>
      <w:autoSpaceDE w:val="0"/>
      <w:autoSpaceDN w:val="0"/>
      <w:adjustRightInd w:val="0"/>
      <w:spacing w:line="245" w:lineRule="exact"/>
    </w:pPr>
    <w:rPr>
      <w:rFonts w:ascii="Courier New" w:hAnsi="Courier New" w:cs="Courier New"/>
    </w:rPr>
  </w:style>
  <w:style w:type="character" w:customStyle="1" w:styleId="FontStyle15">
    <w:name w:val="Font Style15"/>
    <w:uiPriority w:val="99"/>
    <w:rsid w:val="00184145"/>
    <w:rPr>
      <w:rFonts w:ascii="Times New Roman" w:hAnsi="Times New Roman" w:cs="Times New Roman"/>
      <w:b/>
      <w:bCs/>
      <w:sz w:val="20"/>
      <w:szCs w:val="20"/>
    </w:rPr>
  </w:style>
  <w:style w:type="paragraph" w:customStyle="1" w:styleId="Style3">
    <w:name w:val="Style3"/>
    <w:basedOn w:val="a"/>
    <w:uiPriority w:val="99"/>
    <w:rsid w:val="00A93189"/>
    <w:pPr>
      <w:widowControl w:val="0"/>
      <w:autoSpaceDE w:val="0"/>
      <w:autoSpaceDN w:val="0"/>
      <w:adjustRightInd w:val="0"/>
      <w:spacing w:line="235" w:lineRule="exact"/>
      <w:jc w:val="both"/>
    </w:pPr>
    <w:rPr>
      <w:rFonts w:ascii="Courier New" w:hAnsi="Courier New" w:cs="Courier New"/>
    </w:rPr>
  </w:style>
  <w:style w:type="paragraph" w:customStyle="1" w:styleId="Style2">
    <w:name w:val="Style2"/>
    <w:basedOn w:val="a"/>
    <w:uiPriority w:val="99"/>
    <w:rsid w:val="0076133A"/>
    <w:pPr>
      <w:widowControl w:val="0"/>
      <w:autoSpaceDE w:val="0"/>
      <w:autoSpaceDN w:val="0"/>
      <w:adjustRightInd w:val="0"/>
    </w:pPr>
  </w:style>
  <w:style w:type="character" w:customStyle="1" w:styleId="s1">
    <w:name w:val="s1"/>
    <w:rsid w:val="0076133A"/>
    <w:rPr>
      <w:rFonts w:ascii="Arial" w:hAnsi="Arial" w:cs="Arial" w:hint="default"/>
    </w:rPr>
  </w:style>
  <w:style w:type="paragraph" w:customStyle="1" w:styleId="Style4">
    <w:name w:val="Style4"/>
    <w:basedOn w:val="a"/>
    <w:uiPriority w:val="99"/>
    <w:rsid w:val="00744AB7"/>
    <w:pPr>
      <w:widowControl w:val="0"/>
      <w:autoSpaceDE w:val="0"/>
      <w:autoSpaceDN w:val="0"/>
      <w:adjustRightInd w:val="0"/>
      <w:spacing w:line="178" w:lineRule="exact"/>
      <w:jc w:val="both"/>
    </w:pPr>
    <w:rPr>
      <w:rFonts w:ascii="Tahoma" w:hAnsi="Tahoma" w:cs="Tahoma"/>
    </w:rPr>
  </w:style>
  <w:style w:type="paragraph" w:styleId="ad">
    <w:name w:val="Balloon Text"/>
    <w:basedOn w:val="a"/>
    <w:link w:val="ae"/>
    <w:uiPriority w:val="99"/>
    <w:semiHidden/>
    <w:unhideWhenUsed/>
    <w:rsid w:val="00F533F3"/>
    <w:rPr>
      <w:rFonts w:ascii="Tahoma" w:hAnsi="Tahoma" w:cs="Tahoma"/>
      <w:sz w:val="16"/>
      <w:szCs w:val="16"/>
    </w:rPr>
  </w:style>
  <w:style w:type="character" w:customStyle="1" w:styleId="ae">
    <w:name w:val="Текст у виносці Знак"/>
    <w:link w:val="ad"/>
    <w:uiPriority w:val="99"/>
    <w:semiHidden/>
    <w:rsid w:val="00F533F3"/>
    <w:rPr>
      <w:rFonts w:ascii="Tahoma" w:hAnsi="Tahoma" w:cs="Tahoma"/>
      <w:sz w:val="16"/>
      <w:szCs w:val="16"/>
    </w:rPr>
  </w:style>
  <w:style w:type="paragraph" w:customStyle="1" w:styleId="Style1">
    <w:name w:val="Style1"/>
    <w:basedOn w:val="a"/>
    <w:uiPriority w:val="99"/>
    <w:rsid w:val="009D2140"/>
    <w:pPr>
      <w:widowControl w:val="0"/>
      <w:autoSpaceDE w:val="0"/>
      <w:autoSpaceDN w:val="0"/>
      <w:adjustRightInd w:val="0"/>
      <w:spacing w:line="240" w:lineRule="exact"/>
      <w:jc w:val="both"/>
    </w:pPr>
  </w:style>
  <w:style w:type="paragraph" w:customStyle="1" w:styleId="Style7">
    <w:name w:val="Style7"/>
    <w:basedOn w:val="a"/>
    <w:uiPriority w:val="99"/>
    <w:rsid w:val="006C2B66"/>
    <w:pPr>
      <w:widowControl w:val="0"/>
      <w:autoSpaceDE w:val="0"/>
      <w:autoSpaceDN w:val="0"/>
      <w:adjustRightInd w:val="0"/>
      <w:spacing w:line="240" w:lineRule="exact"/>
      <w:ind w:hanging="72"/>
      <w:jc w:val="both"/>
    </w:pPr>
    <w:rPr>
      <w:rFonts w:ascii="Courier New" w:hAnsi="Courier New" w:cs="Courier New"/>
    </w:rPr>
  </w:style>
  <w:style w:type="paragraph" w:styleId="HTML">
    <w:name w:val="HTML Preformatted"/>
    <w:basedOn w:val="a"/>
    <w:link w:val="HTML0"/>
    <w:rsid w:val="00F5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F54C51"/>
    <w:rPr>
      <w:rFonts w:ascii="Courier New" w:hAnsi="Courier New" w:cs="Courier New"/>
    </w:rPr>
  </w:style>
  <w:style w:type="character" w:customStyle="1" w:styleId="hps">
    <w:name w:val="hps"/>
    <w:basedOn w:val="a0"/>
    <w:rsid w:val="005D60C9"/>
  </w:style>
  <w:style w:type="character" w:customStyle="1" w:styleId="atn">
    <w:name w:val="atn"/>
    <w:basedOn w:val="a0"/>
    <w:rsid w:val="003A2CC9"/>
  </w:style>
  <w:style w:type="character" w:customStyle="1" w:styleId="shorttext">
    <w:name w:val="short_text"/>
    <w:basedOn w:val="a0"/>
    <w:rsid w:val="003A2CC9"/>
  </w:style>
  <w:style w:type="character" w:customStyle="1" w:styleId="st1">
    <w:name w:val="st1"/>
    <w:basedOn w:val="a0"/>
    <w:rsid w:val="008923EC"/>
  </w:style>
  <w:style w:type="paragraph" w:customStyle="1" w:styleId="21">
    <w:name w:val="Основний текст 21"/>
    <w:basedOn w:val="a"/>
    <w:rsid w:val="00366231"/>
    <w:pPr>
      <w:suppressAutoHyphens/>
    </w:pPr>
    <w:rPr>
      <w:b/>
      <w:lang w:eastAsia="ar-SA"/>
    </w:rPr>
  </w:style>
  <w:style w:type="paragraph" w:styleId="af">
    <w:name w:val="Body Text Indent"/>
    <w:basedOn w:val="a"/>
    <w:link w:val="af0"/>
    <w:uiPriority w:val="99"/>
    <w:unhideWhenUsed/>
    <w:rsid w:val="002F5932"/>
    <w:pPr>
      <w:spacing w:after="120"/>
      <w:ind w:left="283"/>
    </w:pPr>
  </w:style>
  <w:style w:type="character" w:customStyle="1" w:styleId="af0">
    <w:name w:val="Основний текст з відступом Знак"/>
    <w:link w:val="af"/>
    <w:uiPriority w:val="99"/>
    <w:rsid w:val="002F5932"/>
    <w:rPr>
      <w:sz w:val="24"/>
      <w:szCs w:val="24"/>
    </w:rPr>
  </w:style>
  <w:style w:type="paragraph" w:customStyle="1" w:styleId="210">
    <w:name w:val="Основной текст 21"/>
    <w:basedOn w:val="a"/>
    <w:rsid w:val="0020189D"/>
    <w:pPr>
      <w:suppressAutoHyphens/>
      <w:jc w:val="both"/>
    </w:pPr>
    <w:rPr>
      <w:rFonts w:ascii="Arial" w:hAnsi="Arial"/>
      <w:sz w:val="22"/>
      <w:szCs w:val="20"/>
      <w:lang w:val="uk-UA" w:eastAsia="ar-SA"/>
    </w:rPr>
  </w:style>
  <w:style w:type="paragraph" w:styleId="2">
    <w:name w:val="Body Text 2"/>
    <w:basedOn w:val="a"/>
    <w:link w:val="20"/>
    <w:uiPriority w:val="99"/>
    <w:semiHidden/>
    <w:unhideWhenUsed/>
    <w:rsid w:val="00450AEC"/>
    <w:pPr>
      <w:spacing w:after="120" w:line="480" w:lineRule="auto"/>
    </w:pPr>
  </w:style>
  <w:style w:type="character" w:customStyle="1" w:styleId="20">
    <w:name w:val="Основний текст 2 Знак"/>
    <w:link w:val="2"/>
    <w:uiPriority w:val="99"/>
    <w:semiHidden/>
    <w:rsid w:val="00450AEC"/>
    <w:rPr>
      <w:sz w:val="24"/>
      <w:szCs w:val="24"/>
    </w:rPr>
  </w:style>
  <w:style w:type="character" w:styleId="af1">
    <w:name w:val="Emphasis"/>
    <w:uiPriority w:val="20"/>
    <w:qFormat/>
    <w:rsid w:val="00334DBE"/>
    <w:rPr>
      <w:rFonts w:ascii="Verdana" w:hAnsi="Verdana" w:hint="default"/>
      <w:i/>
      <w:iCs/>
    </w:rPr>
  </w:style>
  <w:style w:type="character" w:styleId="af2">
    <w:name w:val="annotation reference"/>
    <w:uiPriority w:val="99"/>
    <w:semiHidden/>
    <w:unhideWhenUsed/>
    <w:rsid w:val="00DB0C86"/>
    <w:rPr>
      <w:sz w:val="16"/>
      <w:szCs w:val="16"/>
    </w:rPr>
  </w:style>
  <w:style w:type="paragraph" w:styleId="af3">
    <w:name w:val="annotation text"/>
    <w:basedOn w:val="a"/>
    <w:link w:val="af4"/>
    <w:uiPriority w:val="99"/>
    <w:unhideWhenUsed/>
    <w:rsid w:val="00DB0C86"/>
    <w:rPr>
      <w:sz w:val="20"/>
      <w:szCs w:val="20"/>
    </w:rPr>
  </w:style>
  <w:style w:type="character" w:customStyle="1" w:styleId="af4">
    <w:name w:val="Текст примітки Знак"/>
    <w:basedOn w:val="a0"/>
    <w:link w:val="af3"/>
    <w:uiPriority w:val="99"/>
    <w:rsid w:val="00DB0C86"/>
  </w:style>
  <w:style w:type="paragraph" w:styleId="af5">
    <w:name w:val="annotation subject"/>
    <w:basedOn w:val="af3"/>
    <w:next w:val="af3"/>
    <w:link w:val="af6"/>
    <w:uiPriority w:val="99"/>
    <w:semiHidden/>
    <w:unhideWhenUsed/>
    <w:rsid w:val="00DB0C86"/>
    <w:rPr>
      <w:b/>
      <w:bCs/>
    </w:rPr>
  </w:style>
  <w:style w:type="character" w:customStyle="1" w:styleId="af6">
    <w:name w:val="Тема примітки Знак"/>
    <w:link w:val="af5"/>
    <w:uiPriority w:val="99"/>
    <w:semiHidden/>
    <w:rsid w:val="00DB0C86"/>
    <w:rPr>
      <w:b/>
      <w:bCs/>
    </w:rPr>
  </w:style>
  <w:style w:type="character" w:customStyle="1" w:styleId="a7">
    <w:name w:val="Верхній колонтитул Знак"/>
    <w:link w:val="a6"/>
    <w:uiPriority w:val="99"/>
    <w:rsid w:val="00BF7946"/>
    <w:rPr>
      <w:sz w:val="24"/>
      <w:szCs w:val="24"/>
    </w:rPr>
  </w:style>
  <w:style w:type="paragraph" w:styleId="af7">
    <w:name w:val="Revision"/>
    <w:hidden/>
    <w:uiPriority w:val="99"/>
    <w:semiHidden/>
    <w:rsid w:val="003D5A06"/>
    <w:rPr>
      <w:sz w:val="24"/>
      <w:szCs w:val="24"/>
      <w:lang w:val="ru-RU" w:eastAsia="ru-RU"/>
    </w:rPr>
  </w:style>
  <w:style w:type="character" w:customStyle="1" w:styleId="a9">
    <w:name w:val="Нижній колонтитул Знак"/>
    <w:link w:val="a8"/>
    <w:uiPriority w:val="99"/>
    <w:rsid w:val="00D8702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6579">
      <w:bodyDiv w:val="1"/>
      <w:marLeft w:val="0"/>
      <w:marRight w:val="0"/>
      <w:marTop w:val="0"/>
      <w:marBottom w:val="0"/>
      <w:divBdr>
        <w:top w:val="none" w:sz="0" w:space="0" w:color="auto"/>
        <w:left w:val="none" w:sz="0" w:space="0" w:color="auto"/>
        <w:bottom w:val="none" w:sz="0" w:space="0" w:color="auto"/>
        <w:right w:val="none" w:sz="0" w:space="0" w:color="auto"/>
      </w:divBdr>
    </w:div>
    <w:div w:id="1375617863">
      <w:bodyDiv w:val="1"/>
      <w:marLeft w:val="0"/>
      <w:marRight w:val="0"/>
      <w:marTop w:val="0"/>
      <w:marBottom w:val="0"/>
      <w:divBdr>
        <w:top w:val="none" w:sz="0" w:space="0" w:color="auto"/>
        <w:left w:val="none" w:sz="0" w:space="0" w:color="auto"/>
        <w:bottom w:val="none" w:sz="0" w:space="0" w:color="auto"/>
        <w:right w:val="none" w:sz="0" w:space="0" w:color="auto"/>
      </w:divBdr>
      <w:divsChild>
        <w:div w:id="1146779762">
          <w:marLeft w:val="0"/>
          <w:marRight w:val="0"/>
          <w:marTop w:val="0"/>
          <w:marBottom w:val="0"/>
          <w:divBdr>
            <w:top w:val="none" w:sz="0" w:space="0" w:color="auto"/>
            <w:left w:val="none" w:sz="0" w:space="0" w:color="auto"/>
            <w:bottom w:val="none" w:sz="0" w:space="0" w:color="auto"/>
            <w:right w:val="none" w:sz="0" w:space="0" w:color="auto"/>
          </w:divBdr>
          <w:divsChild>
            <w:div w:id="803501102">
              <w:marLeft w:val="0"/>
              <w:marRight w:val="0"/>
              <w:marTop w:val="0"/>
              <w:marBottom w:val="0"/>
              <w:divBdr>
                <w:top w:val="none" w:sz="0" w:space="0" w:color="auto"/>
                <w:left w:val="none" w:sz="0" w:space="0" w:color="auto"/>
                <w:bottom w:val="none" w:sz="0" w:space="0" w:color="auto"/>
                <w:right w:val="none" w:sz="0" w:space="0" w:color="auto"/>
              </w:divBdr>
              <w:divsChild>
                <w:div w:id="818109241">
                  <w:marLeft w:val="0"/>
                  <w:marRight w:val="0"/>
                  <w:marTop w:val="0"/>
                  <w:marBottom w:val="0"/>
                  <w:divBdr>
                    <w:top w:val="none" w:sz="0" w:space="0" w:color="auto"/>
                    <w:left w:val="none" w:sz="0" w:space="0" w:color="auto"/>
                    <w:bottom w:val="none" w:sz="0" w:space="0" w:color="auto"/>
                    <w:right w:val="none" w:sz="0" w:space="0" w:color="auto"/>
                  </w:divBdr>
                  <w:divsChild>
                    <w:div w:id="610160780">
                      <w:marLeft w:val="0"/>
                      <w:marRight w:val="0"/>
                      <w:marTop w:val="0"/>
                      <w:marBottom w:val="0"/>
                      <w:divBdr>
                        <w:top w:val="none" w:sz="0" w:space="0" w:color="auto"/>
                        <w:left w:val="none" w:sz="0" w:space="0" w:color="auto"/>
                        <w:bottom w:val="none" w:sz="0" w:space="0" w:color="auto"/>
                        <w:right w:val="none" w:sz="0" w:space="0" w:color="auto"/>
                      </w:divBdr>
                      <w:divsChild>
                        <w:div w:id="1583641712">
                          <w:marLeft w:val="0"/>
                          <w:marRight w:val="0"/>
                          <w:marTop w:val="0"/>
                          <w:marBottom w:val="0"/>
                          <w:divBdr>
                            <w:top w:val="none" w:sz="0" w:space="0" w:color="auto"/>
                            <w:left w:val="none" w:sz="0" w:space="0" w:color="auto"/>
                            <w:bottom w:val="none" w:sz="0" w:space="0" w:color="auto"/>
                            <w:right w:val="none" w:sz="0" w:space="0" w:color="auto"/>
                          </w:divBdr>
                          <w:divsChild>
                            <w:div w:id="294068262">
                              <w:marLeft w:val="0"/>
                              <w:marRight w:val="0"/>
                              <w:marTop w:val="0"/>
                              <w:marBottom w:val="0"/>
                              <w:divBdr>
                                <w:top w:val="none" w:sz="0" w:space="0" w:color="auto"/>
                                <w:left w:val="none" w:sz="0" w:space="0" w:color="auto"/>
                                <w:bottom w:val="none" w:sz="0" w:space="0" w:color="auto"/>
                                <w:right w:val="none" w:sz="0" w:space="0" w:color="auto"/>
                              </w:divBdr>
                              <w:divsChild>
                                <w:div w:id="1836190121">
                                  <w:marLeft w:val="0"/>
                                  <w:marRight w:val="0"/>
                                  <w:marTop w:val="0"/>
                                  <w:marBottom w:val="0"/>
                                  <w:divBdr>
                                    <w:top w:val="none" w:sz="0" w:space="0" w:color="auto"/>
                                    <w:left w:val="none" w:sz="0" w:space="0" w:color="auto"/>
                                    <w:bottom w:val="none" w:sz="0" w:space="0" w:color="auto"/>
                                    <w:right w:val="none" w:sz="0" w:space="0" w:color="auto"/>
                                  </w:divBdr>
                                  <w:divsChild>
                                    <w:div w:id="1872452724">
                                      <w:marLeft w:val="0"/>
                                      <w:marRight w:val="0"/>
                                      <w:marTop w:val="0"/>
                                      <w:marBottom w:val="0"/>
                                      <w:divBdr>
                                        <w:top w:val="single" w:sz="6" w:space="0" w:color="F5F5F5"/>
                                        <w:left w:val="single" w:sz="6" w:space="0" w:color="F5F5F5"/>
                                        <w:bottom w:val="single" w:sz="6" w:space="0" w:color="F5F5F5"/>
                                        <w:right w:val="single" w:sz="6" w:space="0" w:color="F5F5F5"/>
                                      </w:divBdr>
                                      <w:divsChild>
                                        <w:div w:id="2014601359">
                                          <w:marLeft w:val="0"/>
                                          <w:marRight w:val="0"/>
                                          <w:marTop w:val="0"/>
                                          <w:marBottom w:val="0"/>
                                          <w:divBdr>
                                            <w:top w:val="none" w:sz="0" w:space="0" w:color="auto"/>
                                            <w:left w:val="none" w:sz="0" w:space="0" w:color="auto"/>
                                            <w:bottom w:val="none" w:sz="0" w:space="0" w:color="auto"/>
                                            <w:right w:val="none" w:sz="0" w:space="0" w:color="auto"/>
                                          </w:divBdr>
                                          <w:divsChild>
                                            <w:div w:id="1768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195993">
      <w:bodyDiv w:val="1"/>
      <w:marLeft w:val="0"/>
      <w:marRight w:val="0"/>
      <w:marTop w:val="0"/>
      <w:marBottom w:val="0"/>
      <w:divBdr>
        <w:top w:val="none" w:sz="0" w:space="0" w:color="auto"/>
        <w:left w:val="none" w:sz="0" w:space="0" w:color="auto"/>
        <w:bottom w:val="none" w:sz="0" w:space="0" w:color="auto"/>
        <w:right w:val="none" w:sz="0" w:space="0" w:color="auto"/>
      </w:divBdr>
    </w:div>
    <w:div w:id="20192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E223-31CB-4D7A-89D3-619EC6A11BE1}">
  <ds:schemaRefs>
    <ds:schemaRef ds:uri="http://schemas.openxmlformats.org/officeDocument/2006/bibliography"/>
  </ds:schemaRefs>
</ds:datastoreItem>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1481</TotalTime>
  <Pages>4</Pages>
  <Words>7722</Words>
  <Characters>4403</Characters>
  <Application>Microsoft Office Word</Application>
  <DocSecurity>0</DocSecurity>
  <Lines>36</Lines>
  <Paragraphs>24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Додаток 1</vt:lpstr>
      <vt:lpstr>Додаток 1</vt:lpstr>
      <vt:lpstr>Додаток 1</vt:lpstr>
    </vt:vector>
  </TitlesOfParts>
  <Company>Microsoft</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Admin</dc:creator>
  <cp:keywords/>
  <cp:lastModifiedBy>admin</cp:lastModifiedBy>
  <cp:revision>41</cp:revision>
  <cp:lastPrinted>2023-11-07T08:55:00Z</cp:lastPrinted>
  <dcterms:created xsi:type="dcterms:W3CDTF">2023-09-12T07:23:00Z</dcterms:created>
  <dcterms:modified xsi:type="dcterms:W3CDTF">2025-02-12T15:32:00Z</dcterms:modified>
</cp:coreProperties>
</file>