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9036A7F" w14:textId="77777777" w:rsidR="00774354" w:rsidRPr="0099302A" w:rsidRDefault="00774354" w:rsidP="00774354">
      <w:pPr>
        <w:jc w:val="right"/>
        <w:rPr>
          <w:lang w:val="uk-UA"/>
        </w:rPr>
      </w:pPr>
      <w:bookmarkStart w:id="0" w:name="_GoBack"/>
      <w:bookmarkEnd w:id="0"/>
      <w:r w:rsidRPr="0099302A">
        <w:rPr>
          <w:lang w:val="uk-UA"/>
        </w:rPr>
        <w:t>Додаток 1</w:t>
      </w:r>
    </w:p>
    <w:p w14:paraId="131975D0" w14:textId="77777777" w:rsidR="00774354" w:rsidRPr="0099302A" w:rsidRDefault="00774354" w:rsidP="00774354">
      <w:pPr>
        <w:tabs>
          <w:tab w:val="left" w:pos="0"/>
        </w:tabs>
        <w:jc w:val="right"/>
        <w:rPr>
          <w:b/>
          <w:bCs/>
          <w:lang w:val="uk-UA"/>
        </w:rPr>
      </w:pPr>
      <w:r w:rsidRPr="0099302A">
        <w:rPr>
          <w:lang w:val="uk-UA"/>
        </w:rPr>
        <w:t>до реєстраційного посвідчення</w:t>
      </w:r>
      <w:r w:rsidR="000B0AA5" w:rsidRPr="0099302A">
        <w:rPr>
          <w:lang w:val="uk-UA"/>
        </w:rPr>
        <w:t xml:space="preserve"> </w:t>
      </w:r>
    </w:p>
    <w:p w14:paraId="52C960C9" w14:textId="77777777" w:rsidR="00774354" w:rsidRPr="0099302A" w:rsidRDefault="00774354" w:rsidP="00B3340C">
      <w:pPr>
        <w:tabs>
          <w:tab w:val="left" w:pos="0"/>
        </w:tabs>
        <w:jc w:val="right"/>
        <w:rPr>
          <w:b/>
          <w:bCs/>
          <w:lang w:val="uk-UA"/>
        </w:rPr>
      </w:pPr>
    </w:p>
    <w:p w14:paraId="1292F004" w14:textId="77777777" w:rsidR="00945451" w:rsidRPr="0099302A" w:rsidRDefault="00945451" w:rsidP="0005227B">
      <w:pPr>
        <w:tabs>
          <w:tab w:val="left" w:pos="0"/>
        </w:tabs>
        <w:jc w:val="center"/>
        <w:rPr>
          <w:b/>
          <w:bCs/>
          <w:lang w:val="uk-UA"/>
        </w:rPr>
      </w:pPr>
      <w:r w:rsidRPr="0099302A">
        <w:rPr>
          <w:b/>
          <w:bCs/>
          <w:lang w:val="uk-UA"/>
        </w:rPr>
        <w:t>Коротка характеристика препарату</w:t>
      </w:r>
    </w:p>
    <w:p w14:paraId="2A0E79A2" w14:textId="77777777" w:rsidR="00945451" w:rsidRPr="0099302A" w:rsidRDefault="00945451" w:rsidP="0005227B">
      <w:pPr>
        <w:jc w:val="both"/>
        <w:rPr>
          <w:lang w:val="uk-UA"/>
        </w:rPr>
      </w:pPr>
    </w:p>
    <w:p w14:paraId="085D0DD4" w14:textId="77777777" w:rsidR="00945451" w:rsidRPr="0099302A" w:rsidRDefault="00945451" w:rsidP="0005227B">
      <w:pPr>
        <w:ind w:firstLine="567"/>
        <w:jc w:val="both"/>
        <w:rPr>
          <w:b/>
          <w:lang w:val="uk-UA"/>
        </w:rPr>
      </w:pPr>
      <w:r w:rsidRPr="0099302A">
        <w:rPr>
          <w:b/>
          <w:lang w:val="uk-UA"/>
        </w:rPr>
        <w:t xml:space="preserve">1. Назва </w:t>
      </w:r>
    </w:p>
    <w:p w14:paraId="74E8268D" w14:textId="77777777" w:rsidR="004F2A1F" w:rsidRPr="0099302A" w:rsidRDefault="006D794F" w:rsidP="0005227B">
      <w:pPr>
        <w:ind w:firstLine="567"/>
        <w:jc w:val="both"/>
        <w:rPr>
          <w:bCs/>
          <w:lang w:val="uk-UA"/>
        </w:rPr>
      </w:pPr>
      <w:bookmarkStart w:id="1" w:name="_Hlk54787500"/>
      <w:r w:rsidRPr="0099302A">
        <w:rPr>
          <w:bCs/>
          <w:lang w:val="uk-UA"/>
        </w:rPr>
        <w:t>Зеліс</w:t>
      </w:r>
    </w:p>
    <w:bookmarkEnd w:id="1"/>
    <w:p w14:paraId="091BD355" w14:textId="77777777" w:rsidR="00945451" w:rsidRPr="0099302A" w:rsidRDefault="00945451" w:rsidP="0005227B">
      <w:pPr>
        <w:ind w:firstLine="567"/>
        <w:jc w:val="both"/>
        <w:rPr>
          <w:b/>
          <w:lang w:val="uk-UA"/>
        </w:rPr>
      </w:pPr>
      <w:r w:rsidRPr="0099302A">
        <w:rPr>
          <w:b/>
          <w:lang w:val="uk-UA"/>
        </w:rPr>
        <w:t xml:space="preserve">2. Склад </w:t>
      </w:r>
    </w:p>
    <w:p w14:paraId="0B870AC5" w14:textId="77777777" w:rsidR="00BE1C74" w:rsidRPr="0099302A" w:rsidRDefault="00BE1C74" w:rsidP="00BE1C74">
      <w:pPr>
        <w:ind w:firstLine="567"/>
        <w:jc w:val="both"/>
        <w:rPr>
          <w:lang w:val="uk-UA"/>
        </w:rPr>
      </w:pPr>
      <w:bookmarkStart w:id="2" w:name="Introduction"/>
      <w:bookmarkStart w:id="3" w:name="Unit_formula"/>
      <w:bookmarkStart w:id="4" w:name="_bookmark0"/>
      <w:bookmarkStart w:id="5" w:name="_bookmark1"/>
      <w:bookmarkStart w:id="6" w:name="_Hlk174570045"/>
      <w:bookmarkEnd w:id="2"/>
      <w:bookmarkEnd w:id="3"/>
      <w:bookmarkEnd w:id="4"/>
      <w:bookmarkEnd w:id="5"/>
      <w:r w:rsidRPr="0099302A">
        <w:rPr>
          <w:lang w:val="uk-UA"/>
        </w:rPr>
        <w:t>100 г препарату містять діючу речовину (г):</w:t>
      </w:r>
    </w:p>
    <w:p w14:paraId="56B4E575" w14:textId="77777777" w:rsidR="00BE1C74" w:rsidRPr="00415768" w:rsidRDefault="007A30C6" w:rsidP="00BE1C74">
      <w:pPr>
        <w:ind w:firstLine="567"/>
        <w:jc w:val="both"/>
        <w:rPr>
          <w:lang w:val="uk-UA" w:eastAsia="ru-RU"/>
        </w:rPr>
      </w:pPr>
      <w:r w:rsidRPr="00415768">
        <w:rPr>
          <w:lang w:val="uk-UA" w:eastAsia="ru-RU"/>
        </w:rPr>
        <w:t>п</w:t>
      </w:r>
      <w:r w:rsidR="00BE1C74" w:rsidRPr="00415768">
        <w:rPr>
          <w:lang w:val="uk-UA" w:eastAsia="ru-RU"/>
        </w:rPr>
        <w:t>імобендан</w:t>
      </w:r>
      <w:r w:rsidRPr="00415768">
        <w:rPr>
          <w:lang w:val="uk-UA" w:eastAsia="ru-RU"/>
        </w:rPr>
        <w:t xml:space="preserve"> </w:t>
      </w:r>
      <w:r w:rsidR="00BE1C74" w:rsidRPr="00415768">
        <w:rPr>
          <w:lang w:val="uk-UA" w:eastAsia="ru-RU"/>
        </w:rPr>
        <w:t>- 0,333</w:t>
      </w:r>
      <w:r w:rsidRPr="00415768">
        <w:rPr>
          <w:lang w:val="uk-UA" w:eastAsia="ru-RU"/>
        </w:rPr>
        <w:t>.</w:t>
      </w:r>
    </w:p>
    <w:p w14:paraId="74D394B0" w14:textId="77777777" w:rsidR="00BE1C74" w:rsidRPr="00696D12" w:rsidRDefault="00BE1C74" w:rsidP="00BE1C74">
      <w:pPr>
        <w:ind w:firstLine="567"/>
        <w:jc w:val="both"/>
        <w:rPr>
          <w:bCs/>
          <w:lang w:val="uk-UA" w:eastAsia="en-US"/>
        </w:rPr>
      </w:pPr>
      <w:r w:rsidRPr="0099302A">
        <w:rPr>
          <w:bCs/>
          <w:lang w:val="uk-UA" w:eastAsia="en-US"/>
        </w:rPr>
        <w:t xml:space="preserve">Допоміжні речовини: </w:t>
      </w:r>
      <w:r w:rsidR="007A30C6" w:rsidRPr="00415768">
        <w:rPr>
          <w:lang w:val="uk-UA" w:eastAsia="ru-RU"/>
        </w:rPr>
        <w:t xml:space="preserve">кремнію </w:t>
      </w:r>
      <w:r w:rsidRPr="00415768">
        <w:rPr>
          <w:lang w:val="uk-UA" w:eastAsia="ru-RU"/>
        </w:rPr>
        <w:t>діоксид</w:t>
      </w:r>
      <w:r w:rsidRPr="0099302A">
        <w:rPr>
          <w:sz w:val="22"/>
          <w:szCs w:val="22"/>
          <w:lang w:val="uk-UA" w:eastAsia="ru-RU"/>
        </w:rPr>
        <w:t xml:space="preserve"> </w:t>
      </w:r>
      <w:r w:rsidRPr="001C00B7">
        <w:rPr>
          <w:bCs/>
          <w:lang w:val="uk-UA" w:eastAsia="en-US"/>
        </w:rPr>
        <w:t>колоїдний безводний</w:t>
      </w:r>
      <w:r>
        <w:rPr>
          <w:bCs/>
          <w:lang w:val="uk-UA" w:eastAsia="en-US"/>
        </w:rPr>
        <w:t>, с</w:t>
      </w:r>
      <w:r w:rsidRPr="001C00B7">
        <w:rPr>
          <w:bCs/>
          <w:lang w:val="uk-UA" w:eastAsia="en-US"/>
        </w:rPr>
        <w:t>теаринова кислота</w:t>
      </w:r>
      <w:r>
        <w:rPr>
          <w:bCs/>
          <w:lang w:val="uk-UA" w:eastAsia="en-US"/>
        </w:rPr>
        <w:t>, к</w:t>
      </w:r>
      <w:r w:rsidRPr="001C00B7">
        <w:rPr>
          <w:bCs/>
          <w:lang w:val="uk-UA" w:eastAsia="en-US"/>
        </w:rPr>
        <w:t>оповідон</w:t>
      </w:r>
      <w:r>
        <w:rPr>
          <w:bCs/>
          <w:lang w:val="uk-UA" w:eastAsia="en-US"/>
        </w:rPr>
        <w:t>, к</w:t>
      </w:r>
      <w:r w:rsidRPr="001C00B7">
        <w:rPr>
          <w:bCs/>
          <w:lang w:val="uk-UA" w:eastAsia="en-US"/>
        </w:rPr>
        <w:t>роскармелоза натрію</w:t>
      </w:r>
      <w:r>
        <w:rPr>
          <w:bCs/>
          <w:lang w:val="uk-UA" w:eastAsia="en-US"/>
        </w:rPr>
        <w:t>, я</w:t>
      </w:r>
      <w:r w:rsidRPr="001C00B7">
        <w:rPr>
          <w:bCs/>
          <w:lang w:val="uk-UA" w:eastAsia="en-US"/>
        </w:rPr>
        <w:t>блучна кислота</w:t>
      </w:r>
      <w:r>
        <w:rPr>
          <w:bCs/>
          <w:lang w:val="uk-UA" w:eastAsia="en-US"/>
        </w:rPr>
        <w:t>, к</w:t>
      </w:r>
      <w:r w:rsidRPr="001C00B7">
        <w:rPr>
          <w:bCs/>
          <w:lang w:val="uk-UA" w:eastAsia="en-US"/>
        </w:rPr>
        <w:t>укурудзяний крохмаль</w:t>
      </w:r>
      <w:r>
        <w:rPr>
          <w:bCs/>
          <w:lang w:val="uk-UA" w:eastAsia="en-US"/>
        </w:rPr>
        <w:t>, ц</w:t>
      </w:r>
      <w:r w:rsidRPr="001C00B7">
        <w:rPr>
          <w:bCs/>
          <w:lang w:val="uk-UA" w:eastAsia="en-US"/>
        </w:rPr>
        <w:t>елюлоза мікрокристалічна</w:t>
      </w:r>
      <w:r>
        <w:rPr>
          <w:bCs/>
          <w:lang w:val="uk-UA" w:eastAsia="en-US"/>
        </w:rPr>
        <w:t xml:space="preserve">, </w:t>
      </w:r>
      <w:r w:rsidRPr="00B437D5">
        <w:rPr>
          <w:bCs/>
          <w:lang w:val="uk-UA" w:eastAsia="en-US"/>
        </w:rPr>
        <w:t xml:space="preserve"> </w:t>
      </w:r>
      <w:r w:rsidRPr="001C00B7">
        <w:rPr>
          <w:bCs/>
          <w:lang w:val="uk-UA" w:eastAsia="en-US"/>
        </w:rPr>
        <w:t xml:space="preserve">моногідрат </w:t>
      </w:r>
      <w:r>
        <w:rPr>
          <w:bCs/>
          <w:lang w:val="uk-UA" w:eastAsia="en-US"/>
        </w:rPr>
        <w:t>лактози, с</w:t>
      </w:r>
      <w:r w:rsidRPr="001C00B7">
        <w:rPr>
          <w:bCs/>
          <w:lang w:val="uk-UA" w:eastAsia="en-US"/>
        </w:rPr>
        <w:t>ухі дріжджі (</w:t>
      </w:r>
      <w:r w:rsidRPr="00696D12">
        <w:rPr>
          <w:bCs/>
          <w:i/>
          <w:iCs/>
          <w:lang w:val="uk-UA" w:eastAsia="en-US"/>
        </w:rPr>
        <w:t>Saccharomyces cerevisiae</w:t>
      </w:r>
      <w:r w:rsidRPr="001C00B7">
        <w:rPr>
          <w:bCs/>
          <w:lang w:val="uk-UA" w:eastAsia="en-US"/>
        </w:rPr>
        <w:t>)</w:t>
      </w:r>
      <w:r>
        <w:rPr>
          <w:bCs/>
          <w:lang w:val="uk-UA" w:eastAsia="en-US"/>
        </w:rPr>
        <w:t>, п</w:t>
      </w:r>
      <w:r w:rsidRPr="001C00B7">
        <w:rPr>
          <w:bCs/>
          <w:lang w:val="uk-UA" w:eastAsia="en-US"/>
        </w:rPr>
        <w:t>орошок свинячої печінки</w:t>
      </w:r>
      <w:r>
        <w:rPr>
          <w:bCs/>
          <w:lang w:val="uk-UA" w:eastAsia="en-US"/>
        </w:rPr>
        <w:t>.</w:t>
      </w:r>
    </w:p>
    <w:p w14:paraId="73FC264F" w14:textId="77777777" w:rsidR="00BE1C74" w:rsidRPr="0099302A" w:rsidRDefault="00BE1C74" w:rsidP="00BE1C74">
      <w:pPr>
        <w:ind w:firstLine="567"/>
        <w:jc w:val="both"/>
        <w:rPr>
          <w:lang w:val="uk-UA"/>
        </w:rPr>
      </w:pPr>
      <w:r w:rsidRPr="0099302A">
        <w:rPr>
          <w:bCs/>
          <w:lang w:val="uk-UA"/>
        </w:rPr>
        <w:t xml:space="preserve">Зеліс </w:t>
      </w:r>
      <w:r w:rsidRPr="0099302A">
        <w:rPr>
          <w:lang w:val="uk-UA"/>
        </w:rPr>
        <w:t>випускають у трьох дозуваннях: 1,25 мг, 5 мг та 10 мг</w:t>
      </w:r>
      <w:r>
        <w:rPr>
          <w:lang w:val="uk-UA"/>
        </w:rPr>
        <w:t xml:space="preserve"> пімобендану на 1 таблетку.</w:t>
      </w:r>
    </w:p>
    <w:bookmarkEnd w:id="6"/>
    <w:p w14:paraId="2B56A700" w14:textId="77777777" w:rsidR="00945451" w:rsidRPr="0099302A" w:rsidRDefault="00945451" w:rsidP="0005227B">
      <w:pPr>
        <w:ind w:firstLine="567"/>
        <w:jc w:val="both"/>
        <w:rPr>
          <w:b/>
          <w:lang w:val="uk-UA"/>
        </w:rPr>
      </w:pPr>
      <w:r w:rsidRPr="0099302A">
        <w:rPr>
          <w:b/>
          <w:lang w:val="uk-UA"/>
        </w:rPr>
        <w:t>3. Фармацевтична форма</w:t>
      </w:r>
    </w:p>
    <w:p w14:paraId="3651800B" w14:textId="77777777" w:rsidR="0054487F" w:rsidRPr="0099302A" w:rsidRDefault="0054487F" w:rsidP="0054487F">
      <w:pPr>
        <w:ind w:firstLine="567"/>
        <w:jc w:val="both"/>
        <w:rPr>
          <w:lang w:val="uk-UA"/>
        </w:rPr>
      </w:pPr>
      <w:r w:rsidRPr="0099302A">
        <w:rPr>
          <w:lang w:val="uk-UA"/>
        </w:rPr>
        <w:t>Жувальні таблетки.</w:t>
      </w:r>
    </w:p>
    <w:p w14:paraId="6FAA060D" w14:textId="77777777" w:rsidR="00945451" w:rsidRPr="0099302A" w:rsidRDefault="00945451" w:rsidP="0005227B">
      <w:pPr>
        <w:widowControl w:val="0"/>
        <w:ind w:firstLine="567"/>
        <w:jc w:val="both"/>
        <w:rPr>
          <w:b/>
          <w:lang w:val="uk-UA"/>
        </w:rPr>
      </w:pPr>
      <w:r w:rsidRPr="0099302A">
        <w:rPr>
          <w:b/>
          <w:lang w:val="uk-UA"/>
        </w:rPr>
        <w:t>4. Фармакологічні властивості</w:t>
      </w:r>
    </w:p>
    <w:p w14:paraId="053EB02B" w14:textId="77777777" w:rsidR="00415768" w:rsidRDefault="00415768" w:rsidP="00415768">
      <w:pPr>
        <w:ind w:firstLine="567"/>
        <w:jc w:val="both"/>
        <w:rPr>
          <w:b/>
          <w:bCs/>
          <w:i/>
          <w:iCs/>
          <w:lang w:val="uk-UA"/>
        </w:rPr>
      </w:pPr>
      <w:bookmarkStart w:id="7" w:name="_Hlk47080633"/>
      <w:bookmarkStart w:id="8" w:name="_Hlk173861721"/>
      <w:r w:rsidRPr="00D2616E">
        <w:rPr>
          <w:b/>
          <w:bCs/>
          <w:i/>
          <w:iCs/>
        </w:rPr>
        <w:t>ATC</w:t>
      </w:r>
      <w:r w:rsidRPr="007D69FD">
        <w:rPr>
          <w:b/>
          <w:i/>
          <w:lang w:val="uk-UA"/>
        </w:rPr>
        <w:t xml:space="preserve"> </w:t>
      </w:r>
      <w:r w:rsidRPr="00D2616E">
        <w:rPr>
          <w:b/>
          <w:bCs/>
          <w:i/>
          <w:iCs/>
        </w:rPr>
        <w:t>vet</w:t>
      </w:r>
      <w:r w:rsidRPr="007D69FD">
        <w:rPr>
          <w:b/>
          <w:i/>
          <w:lang w:val="uk-UA"/>
        </w:rPr>
        <w:t xml:space="preserve"> класифікаційний код </w:t>
      </w:r>
      <w:r w:rsidRPr="00D2616E">
        <w:rPr>
          <w:b/>
          <w:bCs/>
          <w:i/>
          <w:iCs/>
        </w:rPr>
        <w:t>QC</w:t>
      </w:r>
      <w:r w:rsidRPr="007D69FD">
        <w:rPr>
          <w:b/>
          <w:i/>
          <w:lang w:val="uk-UA"/>
        </w:rPr>
        <w:t>01</w:t>
      </w:r>
      <w:r w:rsidRPr="00D2616E">
        <w:rPr>
          <w:b/>
          <w:bCs/>
          <w:i/>
          <w:iCs/>
        </w:rPr>
        <w:t>CE</w:t>
      </w:r>
      <w:r w:rsidRPr="007D69FD">
        <w:rPr>
          <w:b/>
          <w:i/>
          <w:lang w:val="uk-UA"/>
        </w:rPr>
        <w:t xml:space="preserve">90 – Неглікозидні кардіотонічні ветеринарні препарати. Інгібітори фосфодіестерази. </w:t>
      </w:r>
      <w:r w:rsidRPr="000C3F6C">
        <w:rPr>
          <w:b/>
          <w:bCs/>
          <w:i/>
          <w:iCs/>
          <w:lang w:val="uk-UA"/>
        </w:rPr>
        <w:t>Пімобендан.</w:t>
      </w:r>
      <w:r>
        <w:rPr>
          <w:b/>
          <w:bCs/>
          <w:i/>
          <w:iCs/>
          <w:lang w:val="uk-UA"/>
        </w:rPr>
        <w:t xml:space="preserve"> </w:t>
      </w:r>
    </w:p>
    <w:p w14:paraId="50F90C54" w14:textId="77777777" w:rsidR="00415768" w:rsidRPr="0099302A" w:rsidRDefault="00415768" w:rsidP="00415768">
      <w:pPr>
        <w:ind w:firstLine="567"/>
        <w:jc w:val="both"/>
        <w:rPr>
          <w:lang w:val="uk-UA"/>
        </w:rPr>
      </w:pPr>
      <w:r w:rsidRPr="0099302A">
        <w:rPr>
          <w:lang w:val="uk-UA"/>
        </w:rPr>
        <w:t>Пімобендан є похідним бензимідазол-піридазинону,</w:t>
      </w:r>
      <w:r>
        <w:rPr>
          <w:lang w:val="uk-UA"/>
        </w:rPr>
        <w:t xml:space="preserve"> </w:t>
      </w:r>
      <w:r w:rsidRPr="0099302A">
        <w:rPr>
          <w:lang w:val="uk-UA"/>
        </w:rPr>
        <w:t>не</w:t>
      </w:r>
      <w:r>
        <w:rPr>
          <w:lang w:val="uk-UA"/>
        </w:rPr>
        <w:t>-</w:t>
      </w:r>
      <w:r w:rsidRPr="0099302A">
        <w:rPr>
          <w:lang w:val="uk-UA"/>
        </w:rPr>
        <w:t xml:space="preserve">симпатоміметичною, неглікозидною інотропною речовиною з потужними судинорозширювальними властивостями. </w:t>
      </w:r>
    </w:p>
    <w:p w14:paraId="7D5AE0E2" w14:textId="77777777" w:rsidR="00415768" w:rsidRPr="0099302A" w:rsidRDefault="00415768" w:rsidP="00415768">
      <w:pPr>
        <w:ind w:firstLine="567"/>
        <w:jc w:val="both"/>
        <w:rPr>
          <w:lang w:val="uk-UA"/>
        </w:rPr>
      </w:pPr>
      <w:r w:rsidRPr="00D2616E">
        <w:rPr>
          <w:lang w:val="uk-UA"/>
        </w:rPr>
        <w:t>Стимулюючу дію на міокард пімобендан чинить за подвійним механізмом дії</w:t>
      </w:r>
      <w:r>
        <w:rPr>
          <w:lang w:val="uk-UA"/>
        </w:rPr>
        <w:t>:</w:t>
      </w:r>
      <w:r w:rsidRPr="0099302A">
        <w:rPr>
          <w:lang w:val="uk-UA"/>
        </w:rPr>
        <w:t xml:space="preserve"> підвищення кальцієвої чутливості серцевих міофіламентів та інгібування фосфодіестерази (тип ІІІ). Він також виявляє судинорозширювальну дію через інгібування активності фосфодіестерази ІІІ. Таким чином, позитивний інотропний ефект не зумовлений дією, подібною до дії серцевих глікозидів, або симпатоміметично.</w:t>
      </w:r>
    </w:p>
    <w:p w14:paraId="22722D4C" w14:textId="77777777" w:rsidR="00415768" w:rsidRPr="00ED052E" w:rsidRDefault="00415768" w:rsidP="00415768">
      <w:pPr>
        <w:ind w:firstLine="567"/>
        <w:jc w:val="both"/>
        <w:rPr>
          <w:lang w:val="uk-UA"/>
        </w:rPr>
      </w:pPr>
      <w:r w:rsidRPr="0099302A">
        <w:rPr>
          <w:lang w:val="uk-UA"/>
        </w:rPr>
        <w:t xml:space="preserve">При застосуванні </w:t>
      </w:r>
      <w:r w:rsidRPr="007D69FD">
        <w:rPr>
          <w:lang w:val="uk-UA"/>
        </w:rPr>
        <w:t>у випадках симптоматичної недостатності клапанів серця</w:t>
      </w:r>
      <w:r>
        <w:rPr>
          <w:lang w:val="uk-UA"/>
        </w:rPr>
        <w:t xml:space="preserve"> </w:t>
      </w:r>
      <w:r w:rsidRPr="0099302A">
        <w:rPr>
          <w:lang w:val="uk-UA"/>
        </w:rPr>
        <w:t xml:space="preserve">у поєднанні з фуросемідом було показано, </w:t>
      </w:r>
      <w:r w:rsidRPr="00ED052E">
        <w:rPr>
          <w:lang w:val="uk-UA"/>
        </w:rPr>
        <w:t xml:space="preserve">що цей ветеринарний лікарський засіб покращує якість життя та подовжує його тривалість у собак, які отримували лікування. </w:t>
      </w:r>
    </w:p>
    <w:p w14:paraId="1140855E" w14:textId="77777777" w:rsidR="00415768" w:rsidRPr="0099302A" w:rsidRDefault="00415768" w:rsidP="00415768">
      <w:pPr>
        <w:ind w:firstLine="567"/>
        <w:jc w:val="both"/>
        <w:rPr>
          <w:lang w:val="uk-UA"/>
        </w:rPr>
      </w:pPr>
      <w:r w:rsidRPr="00ED052E">
        <w:rPr>
          <w:lang w:val="uk-UA"/>
        </w:rPr>
        <w:t xml:space="preserve">При застосуванні за обмеженої кількості </w:t>
      </w:r>
      <w:r w:rsidRPr="0099302A">
        <w:rPr>
          <w:lang w:val="uk-UA"/>
        </w:rPr>
        <w:t xml:space="preserve">випадків симптоматичної дилатаційної кардіоміопатії у поєднанні з фуросемідом, еналаприлом та дигоксином було показано, що цей </w:t>
      </w:r>
      <w:r>
        <w:rPr>
          <w:lang w:val="uk-UA"/>
        </w:rPr>
        <w:t xml:space="preserve">ветеринарний </w:t>
      </w:r>
      <w:r w:rsidRPr="0099302A">
        <w:rPr>
          <w:lang w:val="uk-UA"/>
        </w:rPr>
        <w:t>лікарський засіб покращує якість та збільшує тривалість життя</w:t>
      </w:r>
      <w:r>
        <w:rPr>
          <w:lang w:val="uk-UA"/>
        </w:rPr>
        <w:t xml:space="preserve"> </w:t>
      </w:r>
      <w:r w:rsidRPr="0099302A">
        <w:rPr>
          <w:lang w:val="uk-UA"/>
        </w:rPr>
        <w:t xml:space="preserve">собак, які отримували лікування. </w:t>
      </w:r>
    </w:p>
    <w:p w14:paraId="734928EF" w14:textId="77777777" w:rsidR="00415768" w:rsidRPr="00ED052E" w:rsidRDefault="00415768" w:rsidP="00415768">
      <w:pPr>
        <w:ind w:firstLine="567"/>
        <w:jc w:val="both"/>
      </w:pPr>
      <w:r w:rsidRPr="0099302A">
        <w:rPr>
          <w:lang w:val="uk-UA"/>
        </w:rPr>
        <w:t xml:space="preserve">Після перорального застосування пімобендану абсолютна </w:t>
      </w:r>
      <w:r>
        <w:rPr>
          <w:lang w:val="uk-UA"/>
        </w:rPr>
        <w:t xml:space="preserve">його </w:t>
      </w:r>
      <w:r w:rsidRPr="0099302A">
        <w:rPr>
          <w:lang w:val="uk-UA"/>
        </w:rPr>
        <w:t xml:space="preserve">біодоступність </w:t>
      </w:r>
      <w:r>
        <w:rPr>
          <w:lang w:val="uk-UA"/>
        </w:rPr>
        <w:t>становить      60-63</w:t>
      </w:r>
      <w:r w:rsidRPr="0099302A">
        <w:rPr>
          <w:lang w:val="uk-UA"/>
        </w:rPr>
        <w:t xml:space="preserve">%. </w:t>
      </w:r>
      <w:r w:rsidRPr="00D2616E">
        <w:t xml:space="preserve">Оскільки одночасне або попереднє </w:t>
      </w:r>
      <w:r w:rsidRPr="00ED052E">
        <w:t>споживання корму знижує біодоступність пімобендан</w:t>
      </w:r>
      <w:r w:rsidRPr="00ED052E">
        <w:rPr>
          <w:lang w:val="uk-UA"/>
        </w:rPr>
        <w:t>у, препарат</w:t>
      </w:r>
      <w:r w:rsidRPr="00ED052E">
        <w:t xml:space="preserve"> слід вводити приблизно за 1 годину до годівлі тварини.</w:t>
      </w:r>
      <w:r w:rsidRPr="00ED052E">
        <w:rPr>
          <w:lang w:val="uk-UA"/>
        </w:rPr>
        <w:t xml:space="preserve"> </w:t>
      </w:r>
    </w:p>
    <w:p w14:paraId="58B44518" w14:textId="77777777" w:rsidR="00415768" w:rsidRPr="00ED052E" w:rsidRDefault="00415768" w:rsidP="00415768">
      <w:pPr>
        <w:ind w:firstLine="567"/>
        <w:jc w:val="both"/>
        <w:rPr>
          <w:lang w:val="uk-UA"/>
        </w:rPr>
      </w:pPr>
      <w:r w:rsidRPr="00ED052E">
        <w:rPr>
          <w:lang w:val="uk-UA"/>
        </w:rPr>
        <w:t>Після перорального застосування пімобендану у дозі 0,25 мг/кг маси тіла максимальна його концентрація в плазмі крові становила 17,4 мкг/л (середня C</w:t>
      </w:r>
      <w:r w:rsidRPr="00ED052E">
        <w:rPr>
          <w:vertAlign w:val="subscript"/>
          <w:lang w:val="uk-UA"/>
        </w:rPr>
        <w:t>max</w:t>
      </w:r>
      <w:r w:rsidRPr="00ED052E">
        <w:rPr>
          <w:lang w:val="uk-UA"/>
        </w:rPr>
        <w:t>), а AUC – 20,9 год*мкг/л (середня AUC0-t).</w:t>
      </w:r>
    </w:p>
    <w:p w14:paraId="16CB95B1" w14:textId="77777777" w:rsidR="00415768" w:rsidRPr="00ED052E" w:rsidRDefault="00415768" w:rsidP="00415768">
      <w:pPr>
        <w:ind w:firstLine="567"/>
        <w:jc w:val="both"/>
        <w:rPr>
          <w:lang w:val="uk-UA"/>
        </w:rPr>
      </w:pPr>
      <w:r w:rsidRPr="00ED052E">
        <w:rPr>
          <w:lang w:val="uk-UA"/>
        </w:rPr>
        <w:t xml:space="preserve">Об'єм розподілу пімобендану становить 2,6 л/кг, що вказує на те, що він легко розподіляється в тканинах. Середній показник зв'язування пімобендану з білками плазми крові становить 93 %. </w:t>
      </w:r>
    </w:p>
    <w:p w14:paraId="1B3A7754" w14:textId="77777777" w:rsidR="00415768" w:rsidRPr="0099302A" w:rsidRDefault="00415768" w:rsidP="00415768">
      <w:pPr>
        <w:ind w:firstLine="567"/>
        <w:jc w:val="both"/>
        <w:rPr>
          <w:lang w:val="uk-UA"/>
        </w:rPr>
      </w:pPr>
      <w:r w:rsidRPr="00ED052E">
        <w:rPr>
          <w:lang w:val="uk-UA"/>
        </w:rPr>
        <w:t>Пімобендан окиснювально деметилюється до свого основного активного метаболіту (UD-CG 212). Подальші метаболічні похідні – це кон'югати фази II UD-</w:t>
      </w:r>
      <w:r w:rsidRPr="0099302A">
        <w:rPr>
          <w:lang w:val="uk-UA"/>
        </w:rPr>
        <w:t xml:space="preserve">CG 212, по суті глюкуроніди та сульфати. </w:t>
      </w:r>
    </w:p>
    <w:p w14:paraId="2D0084B1" w14:textId="77777777" w:rsidR="00415768" w:rsidRPr="0099302A" w:rsidRDefault="00415768" w:rsidP="00415768">
      <w:pPr>
        <w:ind w:firstLine="567"/>
        <w:jc w:val="both"/>
        <w:rPr>
          <w:lang w:val="uk-UA"/>
        </w:rPr>
      </w:pPr>
      <w:r w:rsidRPr="0099302A">
        <w:rPr>
          <w:lang w:val="uk-UA"/>
        </w:rPr>
        <w:t xml:space="preserve">Період напіввиведення пімобендану з плазми становить 0,4 години, що відповідає високому кліренсу </w:t>
      </w:r>
      <w:r>
        <w:rPr>
          <w:lang w:val="uk-UA"/>
        </w:rPr>
        <w:t>(</w:t>
      </w:r>
      <w:r w:rsidRPr="0099302A">
        <w:rPr>
          <w:lang w:val="uk-UA"/>
        </w:rPr>
        <w:t>90 мл/хв/кг</w:t>
      </w:r>
      <w:r>
        <w:rPr>
          <w:lang w:val="uk-UA"/>
        </w:rPr>
        <w:t>)</w:t>
      </w:r>
      <w:r w:rsidRPr="0099302A">
        <w:rPr>
          <w:lang w:val="uk-UA"/>
        </w:rPr>
        <w:t xml:space="preserve"> і короткому середньому часу </w:t>
      </w:r>
      <w:r>
        <w:rPr>
          <w:lang w:val="uk-UA"/>
        </w:rPr>
        <w:t>циркулювання</w:t>
      </w:r>
      <w:r w:rsidRPr="0099302A">
        <w:rPr>
          <w:lang w:val="uk-UA"/>
        </w:rPr>
        <w:t xml:space="preserve"> в плазмі </w:t>
      </w:r>
      <w:r>
        <w:rPr>
          <w:lang w:val="uk-UA"/>
        </w:rPr>
        <w:t>(</w:t>
      </w:r>
      <w:r w:rsidRPr="0099302A">
        <w:rPr>
          <w:lang w:val="uk-UA"/>
        </w:rPr>
        <w:t>0,5 години</w:t>
      </w:r>
      <w:r>
        <w:rPr>
          <w:lang w:val="uk-UA"/>
        </w:rPr>
        <w:t>)</w:t>
      </w:r>
      <w:r w:rsidRPr="0099302A">
        <w:rPr>
          <w:lang w:val="uk-UA"/>
        </w:rPr>
        <w:t>.</w:t>
      </w:r>
    </w:p>
    <w:p w14:paraId="07EF5677" w14:textId="77777777" w:rsidR="00415768" w:rsidRPr="0099302A" w:rsidRDefault="00415768" w:rsidP="00415768">
      <w:pPr>
        <w:ind w:firstLine="567"/>
        <w:jc w:val="both"/>
        <w:rPr>
          <w:lang w:val="uk-UA"/>
        </w:rPr>
      </w:pPr>
      <w:r w:rsidRPr="00347D52">
        <w:rPr>
          <w:lang w:val="uk-UA"/>
        </w:rPr>
        <w:t xml:space="preserve">Період напіввиведення основного активного метаболіту з плазми становить 2,0 години. </w:t>
      </w:r>
      <w:r w:rsidRPr="0099302A">
        <w:rPr>
          <w:lang w:val="uk-UA"/>
        </w:rPr>
        <w:t>Майже вся доза виводиться з фекаліями.</w:t>
      </w:r>
    </w:p>
    <w:p w14:paraId="03D4D6BF" w14:textId="77777777" w:rsidR="00415768" w:rsidRPr="0099302A" w:rsidRDefault="00415768" w:rsidP="00415768">
      <w:pPr>
        <w:ind w:firstLine="567"/>
        <w:jc w:val="both"/>
        <w:rPr>
          <w:b/>
          <w:lang w:val="uk-UA"/>
        </w:rPr>
      </w:pPr>
      <w:r w:rsidRPr="0099302A">
        <w:rPr>
          <w:b/>
          <w:lang w:val="uk-UA"/>
        </w:rPr>
        <w:t>5. Клінічні особливості</w:t>
      </w:r>
    </w:p>
    <w:p w14:paraId="173F03C1" w14:textId="77777777" w:rsidR="00415768" w:rsidRPr="0099302A" w:rsidRDefault="00415768" w:rsidP="00415768">
      <w:pPr>
        <w:widowControl w:val="0"/>
        <w:ind w:firstLine="567"/>
        <w:jc w:val="both"/>
        <w:rPr>
          <w:b/>
          <w:lang w:val="uk-UA"/>
        </w:rPr>
      </w:pPr>
      <w:r w:rsidRPr="0099302A">
        <w:rPr>
          <w:b/>
          <w:lang w:val="uk-UA"/>
        </w:rPr>
        <w:t>5.1 Вид тварин</w:t>
      </w:r>
    </w:p>
    <w:p w14:paraId="677FB696" w14:textId="77777777" w:rsidR="00415768" w:rsidRPr="0099302A" w:rsidRDefault="00415768" w:rsidP="00415768">
      <w:pPr>
        <w:ind w:firstLine="567"/>
        <w:jc w:val="both"/>
        <w:rPr>
          <w:lang w:val="uk-UA"/>
        </w:rPr>
      </w:pPr>
      <w:r w:rsidRPr="0099302A">
        <w:rPr>
          <w:lang w:val="uk-UA"/>
        </w:rPr>
        <w:t>Собаки.</w:t>
      </w:r>
    </w:p>
    <w:p w14:paraId="298C9087" w14:textId="77777777" w:rsidR="00415768" w:rsidRPr="0099302A" w:rsidRDefault="00415768" w:rsidP="00415768">
      <w:pPr>
        <w:pStyle w:val="31"/>
        <w:ind w:firstLine="567"/>
        <w:rPr>
          <w:szCs w:val="24"/>
        </w:rPr>
      </w:pPr>
      <w:r w:rsidRPr="0099302A">
        <w:rPr>
          <w:szCs w:val="24"/>
        </w:rPr>
        <w:t>5.2 Показання до застосування</w:t>
      </w:r>
    </w:p>
    <w:p w14:paraId="10916470" w14:textId="77777777" w:rsidR="00415768" w:rsidRPr="00995808" w:rsidRDefault="00415768" w:rsidP="00415768">
      <w:pPr>
        <w:pStyle w:val="31"/>
        <w:tabs>
          <w:tab w:val="left" w:pos="709"/>
        </w:tabs>
        <w:ind w:firstLine="567"/>
        <w:rPr>
          <w:b w:val="0"/>
          <w:szCs w:val="24"/>
        </w:rPr>
      </w:pPr>
      <w:r>
        <w:rPr>
          <w:b w:val="0"/>
          <w:szCs w:val="24"/>
        </w:rPr>
        <w:t>Л</w:t>
      </w:r>
      <w:r w:rsidRPr="0099302A">
        <w:rPr>
          <w:b w:val="0"/>
          <w:szCs w:val="24"/>
        </w:rPr>
        <w:t>ікування собак при застійній серцевій недостатності, спричиненої клапанною недостатністю (регургітація мітрального та/або трикуспідального клапанів) або дилатаційною кардіоміопатією.</w:t>
      </w:r>
    </w:p>
    <w:p w14:paraId="34C6C48D" w14:textId="77777777" w:rsidR="00415768" w:rsidRPr="0099302A" w:rsidRDefault="00415768" w:rsidP="00415768">
      <w:pPr>
        <w:pStyle w:val="31"/>
        <w:tabs>
          <w:tab w:val="left" w:pos="709"/>
        </w:tabs>
        <w:ind w:firstLine="567"/>
        <w:rPr>
          <w:szCs w:val="24"/>
        </w:rPr>
      </w:pPr>
      <w:r w:rsidRPr="0099302A">
        <w:rPr>
          <w:szCs w:val="24"/>
        </w:rPr>
        <w:t>5.3 Протипоказання</w:t>
      </w:r>
    </w:p>
    <w:p w14:paraId="486F20FA" w14:textId="77777777" w:rsidR="00415768" w:rsidRPr="0099302A" w:rsidRDefault="00415768" w:rsidP="00415768">
      <w:pPr>
        <w:ind w:firstLine="567"/>
        <w:jc w:val="both"/>
        <w:rPr>
          <w:lang w:val="uk-UA"/>
        </w:rPr>
      </w:pPr>
      <w:r w:rsidRPr="0099302A">
        <w:rPr>
          <w:lang w:val="uk-UA"/>
        </w:rPr>
        <w:lastRenderedPageBreak/>
        <w:t xml:space="preserve">Не застосовувати при гіпертрофічних кардіоміопатіях або при захворюваннях, при яких </w:t>
      </w:r>
      <w:r>
        <w:rPr>
          <w:lang w:val="uk-UA"/>
        </w:rPr>
        <w:t>збільшення</w:t>
      </w:r>
      <w:r>
        <w:rPr>
          <w:rStyle w:val="af0"/>
          <w:lang w:val="uk-UA"/>
        </w:rPr>
        <w:t xml:space="preserve"> </w:t>
      </w:r>
      <w:r>
        <w:rPr>
          <w:lang w:val="uk-UA"/>
        </w:rPr>
        <w:t>се</w:t>
      </w:r>
      <w:r w:rsidRPr="0099302A">
        <w:rPr>
          <w:lang w:val="uk-UA"/>
        </w:rPr>
        <w:t>рцевого викиду не може бути досягнуто з функціональних або анатомічних причин (наприклад, аортальний стеноз)</w:t>
      </w:r>
      <w:r>
        <w:rPr>
          <w:lang w:val="uk-UA"/>
        </w:rPr>
        <w:t>, оскільки пімобендан не усуває такі причини</w:t>
      </w:r>
      <w:r w:rsidRPr="0099302A">
        <w:rPr>
          <w:lang w:val="uk-UA"/>
        </w:rPr>
        <w:t>.</w:t>
      </w:r>
    </w:p>
    <w:p w14:paraId="6A50E2CC" w14:textId="77777777" w:rsidR="00415768" w:rsidRPr="00BE1C74" w:rsidRDefault="00415768" w:rsidP="00415768">
      <w:pPr>
        <w:ind w:firstLine="567"/>
        <w:jc w:val="both"/>
      </w:pPr>
      <w:r w:rsidRPr="008D79F6">
        <w:rPr>
          <w:lang w:val="uk-UA"/>
        </w:rPr>
        <w:t xml:space="preserve">Оскільки пімобендан метаболізується переважно через печінку, його не слід застосовувати собакам з тяжкими порушеннями функції печінки. </w:t>
      </w:r>
    </w:p>
    <w:p w14:paraId="3C198CFE" w14:textId="77777777" w:rsidR="00415768" w:rsidRPr="0099302A" w:rsidRDefault="00415768" w:rsidP="00415768">
      <w:pPr>
        <w:ind w:firstLine="567"/>
        <w:jc w:val="both"/>
        <w:rPr>
          <w:lang w:val="uk-UA"/>
        </w:rPr>
      </w:pPr>
      <w:r w:rsidRPr="0099302A">
        <w:rPr>
          <w:lang w:val="uk-UA"/>
        </w:rPr>
        <w:t>Не застосовувати при підвищеній чутливості до діючої речовини або до будь-якої з допоміжних речовин.</w:t>
      </w:r>
    </w:p>
    <w:p w14:paraId="3B42C0CB" w14:textId="77777777" w:rsidR="00415768" w:rsidRPr="0099302A" w:rsidRDefault="00415768" w:rsidP="00415768">
      <w:pPr>
        <w:ind w:firstLine="567"/>
        <w:jc w:val="both"/>
        <w:rPr>
          <w:b/>
          <w:lang w:val="uk-UA"/>
        </w:rPr>
      </w:pPr>
      <w:r w:rsidRPr="0099302A">
        <w:rPr>
          <w:b/>
          <w:lang w:val="uk-UA"/>
        </w:rPr>
        <w:t xml:space="preserve">5.4 Побічна дія </w:t>
      </w:r>
    </w:p>
    <w:p w14:paraId="0AEB0165" w14:textId="77777777" w:rsidR="00415768" w:rsidRPr="0099302A" w:rsidRDefault="00415768" w:rsidP="00415768">
      <w:pPr>
        <w:ind w:firstLine="567"/>
        <w:jc w:val="both"/>
        <w:rPr>
          <w:lang w:val="uk-UA"/>
        </w:rPr>
      </w:pPr>
      <w:r w:rsidRPr="0099302A">
        <w:rPr>
          <w:lang w:val="uk-UA"/>
        </w:rPr>
        <w:t>Після застосування препарату в рекомендованих дозах, можуть спостерігатись наступні явища: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6410"/>
      </w:tblGrid>
      <w:tr w:rsidR="00415768" w:rsidRPr="0099302A" w14:paraId="3700BB73" w14:textId="77777777" w:rsidTr="00CD6BFB">
        <w:tc>
          <w:tcPr>
            <w:tcW w:w="1957" w:type="pct"/>
            <w:tcBorders>
              <w:top w:val="single" w:sz="4" w:space="0" w:color="auto"/>
              <w:left w:val="single" w:sz="4" w:space="0" w:color="auto"/>
              <w:bottom w:val="single" w:sz="4" w:space="0" w:color="auto"/>
              <w:right w:val="single" w:sz="4" w:space="0" w:color="auto"/>
            </w:tcBorders>
            <w:hideMark/>
          </w:tcPr>
          <w:p w14:paraId="74A12467" w14:textId="77777777" w:rsidR="00415768" w:rsidRPr="0099302A" w:rsidRDefault="00415768" w:rsidP="00CD6BFB">
            <w:pPr>
              <w:spacing w:before="60" w:after="60"/>
              <w:rPr>
                <w:szCs w:val="22"/>
                <w:lang w:val="uk-UA" w:eastAsia="fr-FR"/>
              </w:rPr>
            </w:pPr>
            <w:r w:rsidRPr="0099302A">
              <w:rPr>
                <w:szCs w:val="22"/>
                <w:lang w:val="uk-UA" w:eastAsia="fr-FR"/>
              </w:rPr>
              <w:t>Рідко</w:t>
            </w:r>
          </w:p>
          <w:p w14:paraId="64FE83C5" w14:textId="77777777" w:rsidR="00415768" w:rsidRPr="0099302A" w:rsidRDefault="00415768" w:rsidP="00CD6BFB">
            <w:pPr>
              <w:spacing w:before="60" w:after="60"/>
              <w:rPr>
                <w:szCs w:val="22"/>
                <w:lang w:val="uk-UA" w:eastAsia="fr-FR"/>
              </w:rPr>
            </w:pPr>
            <w:r w:rsidRPr="0099302A">
              <w:rPr>
                <w:szCs w:val="22"/>
                <w:lang w:val="uk-UA" w:eastAsia="fr-FR"/>
              </w:rPr>
              <w:t>(від 1 до 10 тварин / 10,000 пролікованих тварин):</w:t>
            </w:r>
          </w:p>
        </w:tc>
        <w:tc>
          <w:tcPr>
            <w:tcW w:w="3043" w:type="pct"/>
            <w:tcBorders>
              <w:top w:val="single" w:sz="4" w:space="0" w:color="auto"/>
              <w:left w:val="single" w:sz="4" w:space="0" w:color="auto"/>
              <w:bottom w:val="single" w:sz="4" w:space="0" w:color="auto"/>
              <w:right w:val="single" w:sz="4" w:space="0" w:color="auto"/>
            </w:tcBorders>
            <w:hideMark/>
          </w:tcPr>
          <w:p w14:paraId="1311FC41" w14:textId="77777777" w:rsidR="00415768" w:rsidRPr="0099302A" w:rsidRDefault="00415768" w:rsidP="00CD6BFB">
            <w:pPr>
              <w:pStyle w:val="Default"/>
              <w:rPr>
                <w:rFonts w:ascii="Times New Roman" w:hAnsi="Times New Roman" w:cs="Times New Roman"/>
                <w:iCs/>
                <w:color w:val="auto"/>
                <w:sz w:val="22"/>
                <w:szCs w:val="22"/>
                <w:lang w:val="uk-UA" w:eastAsia="en-US"/>
              </w:rPr>
            </w:pPr>
            <w:r w:rsidRPr="0099302A">
              <w:rPr>
                <w:rFonts w:ascii="Times New Roman" w:hAnsi="Times New Roman" w:cs="Times New Roman"/>
                <w:iCs/>
                <w:color w:val="auto"/>
                <w:sz w:val="22"/>
                <w:szCs w:val="22"/>
                <w:lang w:val="uk-UA" w:eastAsia="en-US"/>
              </w:rPr>
              <w:t>Блювання</w:t>
            </w:r>
            <w:r w:rsidRPr="0099302A">
              <w:rPr>
                <w:rFonts w:ascii="Times New Roman" w:hAnsi="Times New Roman" w:cs="Times New Roman"/>
                <w:iCs/>
                <w:color w:val="auto"/>
                <w:sz w:val="22"/>
                <w:szCs w:val="22"/>
                <w:vertAlign w:val="superscript"/>
                <w:lang w:val="uk-UA" w:eastAsia="en-US"/>
              </w:rPr>
              <w:t>1</w:t>
            </w:r>
            <w:r w:rsidRPr="0099302A">
              <w:rPr>
                <w:rFonts w:ascii="Times New Roman" w:hAnsi="Times New Roman" w:cs="Times New Roman"/>
                <w:iCs/>
                <w:color w:val="auto"/>
                <w:sz w:val="22"/>
                <w:szCs w:val="22"/>
                <w:lang w:val="uk-UA" w:eastAsia="en-US"/>
              </w:rPr>
              <w:t>, Діарея</w:t>
            </w:r>
            <w:r w:rsidRPr="0099302A">
              <w:rPr>
                <w:rFonts w:ascii="Times New Roman" w:hAnsi="Times New Roman" w:cs="Times New Roman"/>
                <w:iCs/>
                <w:color w:val="auto"/>
                <w:sz w:val="22"/>
                <w:szCs w:val="22"/>
                <w:vertAlign w:val="superscript"/>
                <w:lang w:val="uk-UA" w:eastAsia="en-US"/>
              </w:rPr>
              <w:t>2</w:t>
            </w:r>
            <w:r w:rsidRPr="0099302A">
              <w:rPr>
                <w:rFonts w:ascii="Times New Roman" w:hAnsi="Times New Roman" w:cs="Times New Roman"/>
                <w:iCs/>
                <w:color w:val="auto"/>
                <w:sz w:val="22"/>
                <w:szCs w:val="22"/>
                <w:lang w:val="uk-UA" w:eastAsia="en-US"/>
              </w:rPr>
              <w:t xml:space="preserve">, </w:t>
            </w:r>
          </w:p>
          <w:p w14:paraId="3406FB5E" w14:textId="77777777" w:rsidR="00415768" w:rsidRPr="0099302A" w:rsidRDefault="00415768" w:rsidP="00CD6BFB">
            <w:pPr>
              <w:pStyle w:val="Default"/>
              <w:rPr>
                <w:rFonts w:ascii="Times New Roman" w:hAnsi="Times New Roman" w:cs="Times New Roman"/>
                <w:iCs/>
                <w:color w:val="auto"/>
                <w:sz w:val="22"/>
                <w:szCs w:val="22"/>
                <w:lang w:val="uk-UA" w:eastAsia="en-US"/>
              </w:rPr>
            </w:pPr>
            <w:r w:rsidRPr="0099302A">
              <w:rPr>
                <w:rFonts w:ascii="Times New Roman" w:hAnsi="Times New Roman" w:cs="Times New Roman"/>
                <w:iCs/>
                <w:color w:val="auto"/>
                <w:sz w:val="22"/>
                <w:szCs w:val="22"/>
                <w:lang w:val="uk-UA" w:eastAsia="en-US"/>
              </w:rPr>
              <w:t>Анорексія</w:t>
            </w:r>
            <w:r w:rsidRPr="0099302A">
              <w:rPr>
                <w:rFonts w:ascii="Times New Roman" w:hAnsi="Times New Roman" w:cs="Times New Roman"/>
                <w:iCs/>
                <w:color w:val="auto"/>
                <w:sz w:val="22"/>
                <w:szCs w:val="22"/>
                <w:vertAlign w:val="superscript"/>
                <w:lang w:val="uk-UA" w:eastAsia="en-US"/>
              </w:rPr>
              <w:t>2</w:t>
            </w:r>
            <w:r w:rsidRPr="0099302A">
              <w:rPr>
                <w:rFonts w:ascii="Times New Roman" w:hAnsi="Times New Roman" w:cs="Times New Roman"/>
                <w:iCs/>
                <w:color w:val="auto"/>
                <w:sz w:val="22"/>
                <w:szCs w:val="22"/>
                <w:lang w:val="uk-UA" w:eastAsia="en-US"/>
              </w:rPr>
              <w:t>, Млявість</w:t>
            </w:r>
            <w:r w:rsidRPr="0099302A">
              <w:rPr>
                <w:rFonts w:ascii="Times New Roman" w:hAnsi="Times New Roman" w:cs="Times New Roman"/>
                <w:iCs/>
                <w:color w:val="auto"/>
                <w:sz w:val="22"/>
                <w:szCs w:val="22"/>
                <w:vertAlign w:val="superscript"/>
                <w:lang w:val="uk-UA" w:eastAsia="en-US"/>
              </w:rPr>
              <w:t>2</w:t>
            </w:r>
            <w:r w:rsidRPr="0099302A">
              <w:rPr>
                <w:rFonts w:ascii="Times New Roman" w:hAnsi="Times New Roman" w:cs="Times New Roman"/>
                <w:iCs/>
                <w:color w:val="auto"/>
                <w:sz w:val="22"/>
                <w:szCs w:val="22"/>
                <w:lang w:val="uk-UA" w:eastAsia="en-US"/>
              </w:rPr>
              <w:t xml:space="preserve">, </w:t>
            </w:r>
          </w:p>
          <w:p w14:paraId="0AE61001" w14:textId="77777777" w:rsidR="00415768" w:rsidRPr="0099302A" w:rsidRDefault="00415768" w:rsidP="00CD6BFB">
            <w:pPr>
              <w:pStyle w:val="Default"/>
              <w:rPr>
                <w:rFonts w:ascii="Times New Roman" w:hAnsi="Times New Roman" w:cs="Times New Roman"/>
                <w:iCs/>
                <w:color w:val="auto"/>
                <w:sz w:val="22"/>
                <w:szCs w:val="22"/>
                <w:lang w:val="uk-UA" w:eastAsia="en-US"/>
              </w:rPr>
            </w:pPr>
            <w:r w:rsidRPr="0099302A">
              <w:rPr>
                <w:rFonts w:ascii="Times New Roman" w:hAnsi="Times New Roman" w:cs="Times New Roman"/>
                <w:iCs/>
                <w:color w:val="auto"/>
                <w:sz w:val="22"/>
                <w:szCs w:val="22"/>
                <w:lang w:val="uk-UA" w:eastAsia="en-US"/>
              </w:rPr>
              <w:t>Прискорене серцебиття</w:t>
            </w:r>
            <w:r w:rsidRPr="0099302A">
              <w:rPr>
                <w:rFonts w:ascii="Times New Roman" w:hAnsi="Times New Roman" w:cs="Times New Roman"/>
                <w:iCs/>
                <w:color w:val="auto"/>
                <w:sz w:val="22"/>
                <w:szCs w:val="22"/>
                <w:vertAlign w:val="superscript"/>
                <w:lang w:val="uk-UA" w:eastAsia="en-US"/>
              </w:rPr>
              <w:t>1</w:t>
            </w:r>
            <w:r w:rsidRPr="0099302A">
              <w:rPr>
                <w:rFonts w:ascii="Times New Roman" w:hAnsi="Times New Roman" w:cs="Times New Roman"/>
                <w:iCs/>
                <w:color w:val="auto"/>
                <w:sz w:val="22"/>
                <w:szCs w:val="22"/>
                <w:lang w:val="uk-UA" w:eastAsia="en-US"/>
              </w:rPr>
              <w:t>, Порушення роботи серцевого клапана</w:t>
            </w:r>
            <w:r w:rsidRPr="0099302A">
              <w:rPr>
                <w:rFonts w:ascii="Times New Roman" w:hAnsi="Times New Roman" w:cs="Times New Roman"/>
                <w:iCs/>
                <w:color w:val="auto"/>
                <w:sz w:val="22"/>
                <w:szCs w:val="22"/>
                <w:vertAlign w:val="superscript"/>
                <w:lang w:val="uk-UA" w:eastAsia="en-US"/>
              </w:rPr>
              <w:t>3</w:t>
            </w:r>
            <w:r w:rsidRPr="0099302A">
              <w:rPr>
                <w:rFonts w:ascii="Times New Roman" w:hAnsi="Times New Roman" w:cs="Times New Roman"/>
                <w:iCs/>
                <w:color w:val="auto"/>
                <w:sz w:val="22"/>
                <w:szCs w:val="22"/>
                <w:lang w:val="uk-UA" w:eastAsia="en-US"/>
              </w:rPr>
              <w:t xml:space="preserve"> </w:t>
            </w:r>
          </w:p>
        </w:tc>
      </w:tr>
      <w:tr w:rsidR="00415768" w:rsidRPr="0099302A" w14:paraId="42B48010" w14:textId="77777777" w:rsidTr="00CD6BFB">
        <w:tc>
          <w:tcPr>
            <w:tcW w:w="1957" w:type="pct"/>
            <w:tcBorders>
              <w:top w:val="single" w:sz="4" w:space="0" w:color="auto"/>
              <w:left w:val="single" w:sz="4" w:space="0" w:color="auto"/>
              <w:bottom w:val="single" w:sz="4" w:space="0" w:color="auto"/>
              <w:right w:val="single" w:sz="4" w:space="0" w:color="auto"/>
            </w:tcBorders>
            <w:hideMark/>
          </w:tcPr>
          <w:p w14:paraId="3223F063" w14:textId="77777777" w:rsidR="00415768" w:rsidRPr="0099302A" w:rsidRDefault="00415768" w:rsidP="00CD6BFB">
            <w:pPr>
              <w:spacing w:before="60" w:after="60"/>
              <w:rPr>
                <w:szCs w:val="22"/>
                <w:lang w:val="uk-UA" w:eastAsia="fr-FR"/>
              </w:rPr>
            </w:pPr>
            <w:r w:rsidRPr="0099302A">
              <w:rPr>
                <w:szCs w:val="22"/>
                <w:lang w:val="uk-UA" w:eastAsia="fr-FR"/>
              </w:rPr>
              <w:t>Дуже рідко</w:t>
            </w:r>
          </w:p>
          <w:p w14:paraId="27C9D5FD" w14:textId="77777777" w:rsidR="00415768" w:rsidRPr="0099302A" w:rsidRDefault="00415768" w:rsidP="00CD6BFB">
            <w:pPr>
              <w:spacing w:before="60" w:after="60"/>
              <w:rPr>
                <w:szCs w:val="22"/>
                <w:lang w:val="uk-UA" w:eastAsia="fr-FR"/>
              </w:rPr>
            </w:pPr>
            <w:r w:rsidRPr="0099302A">
              <w:rPr>
                <w:szCs w:val="22"/>
                <w:lang w:val="uk-UA" w:eastAsia="fr-FR"/>
              </w:rPr>
              <w:t>(&lt;1 тварини / 10 000 пролікованих тварин, включаючи поодинокі повідомлення):</w:t>
            </w:r>
          </w:p>
        </w:tc>
        <w:tc>
          <w:tcPr>
            <w:tcW w:w="3043" w:type="pct"/>
            <w:tcBorders>
              <w:top w:val="single" w:sz="4" w:space="0" w:color="auto"/>
              <w:left w:val="single" w:sz="4" w:space="0" w:color="auto"/>
              <w:bottom w:val="single" w:sz="4" w:space="0" w:color="auto"/>
              <w:right w:val="single" w:sz="4" w:space="0" w:color="auto"/>
            </w:tcBorders>
            <w:hideMark/>
          </w:tcPr>
          <w:p w14:paraId="05232474" w14:textId="77777777" w:rsidR="00415768" w:rsidRPr="0099302A" w:rsidRDefault="00415768" w:rsidP="00CD6BFB">
            <w:pPr>
              <w:pStyle w:val="Default"/>
              <w:rPr>
                <w:rFonts w:ascii="Times New Roman" w:hAnsi="Times New Roman" w:cs="Times New Roman"/>
                <w:iCs/>
                <w:color w:val="auto"/>
                <w:sz w:val="22"/>
                <w:szCs w:val="22"/>
                <w:lang w:val="uk-UA" w:eastAsia="en-US"/>
              </w:rPr>
            </w:pPr>
            <w:r w:rsidRPr="0099302A">
              <w:rPr>
                <w:rFonts w:ascii="Times New Roman" w:hAnsi="Times New Roman" w:cs="Times New Roman"/>
                <w:iCs/>
                <w:color w:val="auto"/>
                <w:sz w:val="22"/>
                <w:szCs w:val="22"/>
                <w:lang w:val="uk-UA" w:eastAsia="en-US"/>
              </w:rPr>
              <w:t>Петехії слизових оболонок</w:t>
            </w:r>
            <w:r w:rsidRPr="0099302A">
              <w:rPr>
                <w:rFonts w:ascii="Times New Roman" w:hAnsi="Times New Roman" w:cs="Times New Roman"/>
                <w:iCs/>
                <w:color w:val="auto"/>
                <w:sz w:val="22"/>
                <w:szCs w:val="22"/>
                <w:vertAlign w:val="superscript"/>
                <w:lang w:val="uk-UA" w:eastAsia="en-US"/>
              </w:rPr>
              <w:t>4</w:t>
            </w:r>
            <w:r w:rsidRPr="0099302A">
              <w:rPr>
                <w:rFonts w:ascii="Times New Roman" w:hAnsi="Times New Roman" w:cs="Times New Roman"/>
                <w:iCs/>
                <w:color w:val="auto"/>
                <w:sz w:val="22"/>
                <w:szCs w:val="22"/>
                <w:lang w:val="uk-UA" w:eastAsia="en-US"/>
              </w:rPr>
              <w:t>, Крововиливи</w:t>
            </w:r>
            <w:r w:rsidRPr="0099302A">
              <w:rPr>
                <w:rFonts w:ascii="Times New Roman" w:hAnsi="Times New Roman" w:cs="Times New Roman"/>
                <w:iCs/>
                <w:color w:val="auto"/>
                <w:sz w:val="22"/>
                <w:szCs w:val="22"/>
                <w:vertAlign w:val="superscript"/>
                <w:lang w:val="uk-UA" w:eastAsia="en-US"/>
              </w:rPr>
              <w:t>4,5</w:t>
            </w:r>
          </w:p>
          <w:p w14:paraId="303A2BF1" w14:textId="77777777" w:rsidR="00415768" w:rsidRPr="0099302A" w:rsidRDefault="00415768" w:rsidP="00CD6BFB">
            <w:pPr>
              <w:pStyle w:val="Default"/>
              <w:rPr>
                <w:iCs/>
                <w:color w:val="auto"/>
                <w:szCs w:val="22"/>
                <w:lang w:val="uk-UA"/>
              </w:rPr>
            </w:pPr>
          </w:p>
        </w:tc>
      </w:tr>
    </w:tbl>
    <w:p w14:paraId="21A1B28B" w14:textId="77777777" w:rsidR="00415768" w:rsidRPr="00347D52" w:rsidRDefault="00415768" w:rsidP="00415768">
      <w:pPr>
        <w:ind w:firstLine="567"/>
        <w:jc w:val="both"/>
        <w:rPr>
          <w:lang w:val="uk-UA"/>
        </w:rPr>
      </w:pPr>
      <w:r w:rsidRPr="00347D52">
        <w:rPr>
          <w:vertAlign w:val="superscript"/>
          <w:lang w:val="uk-UA"/>
        </w:rPr>
        <w:t>1</w:t>
      </w:r>
      <w:r w:rsidRPr="00347D52">
        <w:rPr>
          <w:lang w:val="uk-UA"/>
        </w:rPr>
        <w:t xml:space="preserve"> Залежить від дози і може бути усунено шляхом зменшення дози.</w:t>
      </w:r>
    </w:p>
    <w:p w14:paraId="534B31F9" w14:textId="77777777" w:rsidR="00415768" w:rsidRPr="0099302A" w:rsidRDefault="00415768" w:rsidP="00415768">
      <w:pPr>
        <w:ind w:firstLine="567"/>
        <w:jc w:val="both"/>
        <w:rPr>
          <w:lang w:val="uk-UA"/>
        </w:rPr>
      </w:pPr>
      <w:r w:rsidRPr="0099302A">
        <w:rPr>
          <w:vertAlign w:val="superscript"/>
          <w:lang w:val="uk-UA"/>
        </w:rPr>
        <w:t>2</w:t>
      </w:r>
      <w:r w:rsidRPr="0099302A">
        <w:rPr>
          <w:lang w:val="uk-UA"/>
        </w:rPr>
        <w:t xml:space="preserve"> Тимчасова дія</w:t>
      </w:r>
    </w:p>
    <w:p w14:paraId="06C8EF22" w14:textId="77777777" w:rsidR="00415768" w:rsidRPr="0099302A" w:rsidRDefault="00415768" w:rsidP="00415768">
      <w:pPr>
        <w:ind w:firstLine="567"/>
        <w:jc w:val="both"/>
        <w:rPr>
          <w:lang w:val="uk-UA"/>
        </w:rPr>
      </w:pPr>
      <w:r w:rsidRPr="0099302A">
        <w:rPr>
          <w:vertAlign w:val="superscript"/>
          <w:lang w:val="uk-UA"/>
        </w:rPr>
        <w:t>3</w:t>
      </w:r>
      <w:r w:rsidRPr="0099302A">
        <w:rPr>
          <w:lang w:val="uk-UA"/>
        </w:rPr>
        <w:t xml:space="preserve"> Збільшення регургітації мітрального клапана спостерігалося під час хронічного лікування пімобенданом у собак із захворюванням мітрального клапана.</w:t>
      </w:r>
    </w:p>
    <w:p w14:paraId="658A9E60" w14:textId="77777777" w:rsidR="00415768" w:rsidRPr="0099302A" w:rsidRDefault="00415768" w:rsidP="00415768">
      <w:pPr>
        <w:ind w:firstLine="567"/>
        <w:jc w:val="both"/>
        <w:rPr>
          <w:lang w:val="uk-UA"/>
        </w:rPr>
      </w:pPr>
      <w:r w:rsidRPr="0099302A">
        <w:rPr>
          <w:vertAlign w:val="superscript"/>
          <w:lang w:val="uk-UA"/>
        </w:rPr>
        <w:t>4</w:t>
      </w:r>
      <w:r w:rsidRPr="0099302A">
        <w:rPr>
          <w:lang w:val="uk-UA"/>
        </w:rPr>
        <w:t xml:space="preserve"> Хоча зв'язок з пімобенданом чітко не встановлений, ці ознаки впливу на первинний гемостаз зникають після відміни лікування.</w:t>
      </w:r>
    </w:p>
    <w:p w14:paraId="11EABD77" w14:textId="77777777" w:rsidR="00415768" w:rsidRPr="0099302A" w:rsidRDefault="00415768" w:rsidP="00415768">
      <w:pPr>
        <w:ind w:firstLine="567"/>
        <w:jc w:val="both"/>
        <w:rPr>
          <w:lang w:val="uk-UA"/>
        </w:rPr>
      </w:pPr>
      <w:r w:rsidRPr="0099302A">
        <w:rPr>
          <w:vertAlign w:val="superscript"/>
          <w:lang w:val="uk-UA"/>
        </w:rPr>
        <w:t>5</w:t>
      </w:r>
      <w:r w:rsidRPr="0099302A">
        <w:rPr>
          <w:lang w:val="uk-UA"/>
        </w:rPr>
        <w:t xml:space="preserve"> Підшкірні</w:t>
      </w:r>
    </w:p>
    <w:p w14:paraId="757349FB" w14:textId="77777777" w:rsidR="00415768" w:rsidRPr="0099302A" w:rsidRDefault="00415768" w:rsidP="00415768">
      <w:pPr>
        <w:ind w:firstLine="567"/>
        <w:jc w:val="both"/>
        <w:rPr>
          <w:b/>
          <w:bCs/>
          <w:highlight w:val="yellow"/>
          <w:lang w:val="uk-UA"/>
        </w:rPr>
      </w:pPr>
      <w:r w:rsidRPr="0099302A">
        <w:rPr>
          <w:lang w:val="uk-UA"/>
        </w:rPr>
        <w:t>Повідомлення про небажані явища є важливим. Це дозволяє здійснювати безперервний моніторинг безпеки ветеринарного лікарського засобу. Звіти слід надсилати, бажано через лікаря</w:t>
      </w:r>
      <w:r w:rsidRPr="00C02727">
        <w:rPr>
          <w:lang w:val="uk-UA"/>
        </w:rPr>
        <w:t xml:space="preserve"> </w:t>
      </w:r>
      <w:r w:rsidRPr="007D69FD">
        <w:rPr>
          <w:lang w:val="uk-UA"/>
        </w:rPr>
        <w:t>ветеринарної медицини</w:t>
      </w:r>
      <w:r w:rsidRPr="0099302A">
        <w:rPr>
          <w:lang w:val="uk-UA"/>
        </w:rPr>
        <w:t>, або власника реєстраційного посвідчення, або його місцевого представника, або національного компетентного органа через національну систему звітності. Відповідні контактні дані наведені в інструкції із застосування.</w:t>
      </w:r>
    </w:p>
    <w:p w14:paraId="62EA1486" w14:textId="77777777" w:rsidR="00415768" w:rsidRPr="0099302A" w:rsidRDefault="00415768" w:rsidP="00415768">
      <w:pPr>
        <w:ind w:firstLine="567"/>
        <w:jc w:val="both"/>
        <w:rPr>
          <w:b/>
          <w:lang w:val="uk-UA"/>
        </w:rPr>
      </w:pPr>
      <w:r w:rsidRPr="0099302A">
        <w:rPr>
          <w:b/>
          <w:lang w:val="uk-UA"/>
        </w:rPr>
        <w:t>5.5 Особливі застереження при використанні</w:t>
      </w:r>
    </w:p>
    <w:p w14:paraId="492239B6" w14:textId="77777777" w:rsidR="00415768" w:rsidRPr="0099302A" w:rsidRDefault="00415768" w:rsidP="00415768">
      <w:pPr>
        <w:ind w:firstLine="567"/>
        <w:jc w:val="both"/>
        <w:rPr>
          <w:lang w:val="uk-UA"/>
        </w:rPr>
      </w:pPr>
      <w:r w:rsidRPr="0099302A">
        <w:rPr>
          <w:lang w:val="uk-UA"/>
        </w:rPr>
        <w:t>Під час лікування слід регулярно перевіряти рівень глюкози в крові у собак з цукровим діабетом.</w:t>
      </w:r>
    </w:p>
    <w:p w14:paraId="410CDD93" w14:textId="77777777" w:rsidR="00415768" w:rsidRDefault="00415768" w:rsidP="00415768">
      <w:pPr>
        <w:ind w:firstLine="567"/>
        <w:jc w:val="both"/>
        <w:rPr>
          <w:lang w:val="uk-UA"/>
        </w:rPr>
      </w:pPr>
      <w:r w:rsidRPr="0099302A">
        <w:rPr>
          <w:lang w:val="uk-UA"/>
        </w:rPr>
        <w:t xml:space="preserve">У тварин, які отримують пімобендан, рекомендується </w:t>
      </w:r>
      <w:r>
        <w:rPr>
          <w:lang w:val="uk-UA"/>
        </w:rPr>
        <w:t xml:space="preserve">проводити </w:t>
      </w:r>
      <w:r w:rsidRPr="0099302A">
        <w:rPr>
          <w:lang w:val="uk-UA"/>
        </w:rPr>
        <w:t xml:space="preserve">моніторинг серцевої функції та морфології. </w:t>
      </w:r>
    </w:p>
    <w:p w14:paraId="259D1DCE" w14:textId="77777777" w:rsidR="00415768" w:rsidRPr="0099302A" w:rsidRDefault="00415768" w:rsidP="00415768">
      <w:pPr>
        <w:ind w:firstLine="567"/>
        <w:jc w:val="both"/>
        <w:rPr>
          <w:lang w:val="uk-UA"/>
        </w:rPr>
      </w:pPr>
      <w:r w:rsidRPr="0099302A">
        <w:rPr>
          <w:lang w:val="uk-UA"/>
        </w:rPr>
        <w:t>Жувальні таблетки ароматизовані. Щоб уникнути випадкового споживання, зберігайте таблетки в недоступному для тварин місці.</w:t>
      </w:r>
    </w:p>
    <w:p w14:paraId="178D33AB" w14:textId="77777777" w:rsidR="00415768" w:rsidRPr="0099302A" w:rsidRDefault="00415768" w:rsidP="00415768">
      <w:pPr>
        <w:ind w:firstLine="567"/>
        <w:jc w:val="both"/>
        <w:rPr>
          <w:b/>
          <w:lang w:val="uk-UA"/>
        </w:rPr>
      </w:pPr>
      <w:r w:rsidRPr="0099302A">
        <w:rPr>
          <w:b/>
          <w:lang w:val="uk-UA"/>
        </w:rPr>
        <w:t>5.6 Застосування під час вагітності, лактації</w:t>
      </w:r>
    </w:p>
    <w:p w14:paraId="1F03D3B5" w14:textId="77777777" w:rsidR="00415768" w:rsidRPr="0099302A" w:rsidRDefault="00415768" w:rsidP="00415768">
      <w:pPr>
        <w:ind w:firstLine="567"/>
        <w:jc w:val="both"/>
        <w:rPr>
          <w:lang w:val="uk-UA"/>
        </w:rPr>
      </w:pPr>
      <w:r w:rsidRPr="0099302A">
        <w:rPr>
          <w:lang w:val="uk-UA"/>
        </w:rPr>
        <w:t xml:space="preserve">Лабораторні дослідження на щурах та кролях не виявили ознак тератогенної або фетотоксичної дії. Лабораторні дослідження на щурах та кролях показали, що при застосуванні високих доз препарату спостерігається його </w:t>
      </w:r>
      <w:r>
        <w:rPr>
          <w:lang w:val="uk-UA"/>
        </w:rPr>
        <w:t>токсичність для материнського організму</w:t>
      </w:r>
      <w:r w:rsidRPr="0099302A">
        <w:rPr>
          <w:lang w:val="uk-UA"/>
        </w:rPr>
        <w:t xml:space="preserve"> та ембріотоксична дія. Пімобендан екскретується в молоко. </w:t>
      </w:r>
      <w:r w:rsidRPr="00E33B88">
        <w:rPr>
          <w:lang w:val="uk-UA"/>
        </w:rPr>
        <w:t>Безпека застосування ветеринарного препарату під час вагітності та лактації у сук не встановлена</w:t>
      </w:r>
      <w:r w:rsidRPr="0099302A">
        <w:rPr>
          <w:lang w:val="uk-UA"/>
        </w:rPr>
        <w:t>. Застосовувати тільки відповідно до оцінки користі/ризику, проведеної відповідальним лікарем</w:t>
      </w:r>
      <w:r w:rsidRPr="003A4A1E">
        <w:rPr>
          <w:lang w:val="uk-UA"/>
        </w:rPr>
        <w:t xml:space="preserve"> </w:t>
      </w:r>
      <w:r w:rsidRPr="007D69FD">
        <w:rPr>
          <w:lang w:val="uk-UA"/>
        </w:rPr>
        <w:t>ветеринарної медицини</w:t>
      </w:r>
      <w:r w:rsidRPr="0099302A">
        <w:rPr>
          <w:lang w:val="uk-UA"/>
        </w:rPr>
        <w:t>.</w:t>
      </w:r>
    </w:p>
    <w:p w14:paraId="70DD7D26" w14:textId="77777777" w:rsidR="00415768" w:rsidRPr="0099302A" w:rsidRDefault="00415768" w:rsidP="00415768">
      <w:pPr>
        <w:ind w:firstLine="567"/>
        <w:jc w:val="both"/>
        <w:rPr>
          <w:b/>
          <w:lang w:val="uk-UA"/>
        </w:rPr>
      </w:pPr>
      <w:r w:rsidRPr="0099302A">
        <w:rPr>
          <w:b/>
          <w:lang w:val="uk-UA"/>
        </w:rPr>
        <w:t>5.7 Взаємодія з іншими засобами та інші форми взаємодії</w:t>
      </w:r>
    </w:p>
    <w:p w14:paraId="7C17160F" w14:textId="77777777" w:rsidR="00415768" w:rsidRPr="0099302A" w:rsidRDefault="00415768" w:rsidP="00415768">
      <w:pPr>
        <w:ind w:firstLine="567"/>
        <w:jc w:val="both"/>
        <w:rPr>
          <w:highlight w:val="yellow"/>
          <w:lang w:val="uk-UA"/>
        </w:rPr>
      </w:pPr>
      <w:r w:rsidRPr="0099302A">
        <w:rPr>
          <w:lang w:val="uk-UA"/>
        </w:rPr>
        <w:t>Під час фармакологічних дослідженнях не було виявлено взаємодії між серцевими глікозидами строфантином та пімобенданом. Індуковане пімобенданом збільшення скоротливості серця послаблюється антагоністами кальцію верапамілом і дилтіаземом та β-антагоністом пропранололом.</w:t>
      </w:r>
    </w:p>
    <w:p w14:paraId="1CB63603" w14:textId="77777777" w:rsidR="00415768" w:rsidRPr="0099302A" w:rsidRDefault="00415768" w:rsidP="00415768">
      <w:pPr>
        <w:ind w:firstLine="567"/>
        <w:jc w:val="both"/>
        <w:rPr>
          <w:b/>
          <w:lang w:val="uk-UA"/>
        </w:rPr>
      </w:pPr>
      <w:r w:rsidRPr="0099302A">
        <w:rPr>
          <w:b/>
          <w:lang w:val="uk-UA"/>
        </w:rPr>
        <w:t>5.8 Дози і способи введення тваринам різного віку</w:t>
      </w:r>
    </w:p>
    <w:p w14:paraId="1542CE9C" w14:textId="77777777" w:rsidR="00415768" w:rsidRPr="0099302A" w:rsidRDefault="00415768" w:rsidP="00415768">
      <w:pPr>
        <w:widowControl w:val="0"/>
        <w:tabs>
          <w:tab w:val="left" w:pos="0"/>
        </w:tabs>
        <w:ind w:firstLine="567"/>
        <w:jc w:val="both"/>
        <w:rPr>
          <w:lang w:val="uk-UA"/>
        </w:rPr>
      </w:pPr>
      <w:r w:rsidRPr="0099302A">
        <w:rPr>
          <w:lang w:val="uk-UA"/>
        </w:rPr>
        <w:t>Перорально.</w:t>
      </w:r>
    </w:p>
    <w:p w14:paraId="3EFCEF05" w14:textId="77777777" w:rsidR="00415768" w:rsidRPr="0099302A" w:rsidRDefault="00415768" w:rsidP="00415768">
      <w:pPr>
        <w:widowControl w:val="0"/>
        <w:tabs>
          <w:tab w:val="left" w:pos="0"/>
        </w:tabs>
        <w:ind w:firstLine="567"/>
        <w:jc w:val="both"/>
        <w:rPr>
          <w:lang w:val="uk-UA"/>
        </w:rPr>
      </w:pPr>
      <w:r w:rsidRPr="0099302A">
        <w:rPr>
          <w:lang w:val="uk-UA"/>
        </w:rPr>
        <w:t>Не збільшувати рекомендовану дозу.</w:t>
      </w:r>
    </w:p>
    <w:p w14:paraId="086A5D13" w14:textId="77777777" w:rsidR="00415768" w:rsidRPr="0099302A" w:rsidRDefault="00415768" w:rsidP="00415768">
      <w:pPr>
        <w:widowControl w:val="0"/>
        <w:tabs>
          <w:tab w:val="left" w:pos="0"/>
        </w:tabs>
        <w:ind w:firstLine="567"/>
        <w:jc w:val="both"/>
        <w:rPr>
          <w:lang w:val="uk-UA"/>
        </w:rPr>
      </w:pPr>
      <w:r w:rsidRPr="0099302A">
        <w:rPr>
          <w:lang w:val="uk-UA"/>
        </w:rPr>
        <w:t xml:space="preserve">Для забезпечення правильного дозування, перед застосуванням, слід якомога точніше визначити масу тіла тварини. Таблетки слід застосовувати у дозі від 0,2 мг до 0,6 мг пімобендану на </w:t>
      </w:r>
      <w:r w:rsidRPr="0099302A">
        <w:rPr>
          <w:lang w:val="uk-UA"/>
        </w:rPr>
        <w:lastRenderedPageBreak/>
        <w:t xml:space="preserve">1 кг маси тіла </w:t>
      </w:r>
      <w:r w:rsidRPr="007D69FD">
        <w:rPr>
          <w:lang w:val="uk-UA"/>
        </w:rPr>
        <w:t>тварини</w:t>
      </w:r>
      <w:r w:rsidRPr="00D2616E">
        <w:rPr>
          <w:lang w:val="uk-UA"/>
        </w:rPr>
        <w:t xml:space="preserve"> на добу. Рекомендована добова доза </w:t>
      </w:r>
      <w:r w:rsidRPr="007D69FD">
        <w:rPr>
          <w:lang w:val="uk-UA"/>
        </w:rPr>
        <w:t>препарату</w:t>
      </w:r>
      <w:r w:rsidRPr="0099302A">
        <w:rPr>
          <w:lang w:val="uk-UA"/>
        </w:rPr>
        <w:t xml:space="preserve"> становить 0,5 мг пімобендану на 1 кг маси тіла. Дозу слід розділити на два прийоми (по 0,25 мг пімобендану на 1 кг маси тіла), використовуючи відповідну комбінацію цілих або половинок таблеток: одну половину дози вранці, а другу половину приблизно через 12 годин. Таблетки (1,25, 5 і 10 мг) можна розділити на дві рівні частини. </w:t>
      </w:r>
    </w:p>
    <w:p w14:paraId="7381559A" w14:textId="77777777" w:rsidR="00415768" w:rsidRDefault="00415768" w:rsidP="00415768">
      <w:pPr>
        <w:widowControl w:val="0"/>
        <w:tabs>
          <w:tab w:val="left" w:pos="0"/>
        </w:tabs>
        <w:ind w:firstLine="567"/>
        <w:jc w:val="both"/>
        <w:rPr>
          <w:lang w:val="uk-UA"/>
        </w:rPr>
      </w:pPr>
      <w:r w:rsidRPr="0099302A">
        <w:rPr>
          <w:lang w:val="uk-UA"/>
        </w:rPr>
        <w:t>Кожну дозу слід давати приблизно за годину до годування. Таблетки добровільно споживаються твариною або їх слід задати безпосередньо в ротову порожнину</w:t>
      </w:r>
      <w:r w:rsidRPr="00F425BB">
        <w:t>. Кількість таблеток (цілих або половин</w:t>
      </w:r>
      <w:r>
        <w:rPr>
          <w:lang w:val="uk-UA"/>
        </w:rPr>
        <w:t>ок</w:t>
      </w:r>
      <w:r w:rsidRPr="00F425BB">
        <w:t xml:space="preserve">) на </w:t>
      </w:r>
      <w:r>
        <w:rPr>
          <w:lang w:val="uk-UA"/>
        </w:rPr>
        <w:t xml:space="preserve">1 </w:t>
      </w:r>
      <w:r w:rsidRPr="00F425BB">
        <w:t>прийом (вранці та ввечері)</w:t>
      </w:r>
      <w:r>
        <w:rPr>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2633"/>
        <w:gridCol w:w="2633"/>
        <w:gridCol w:w="2634"/>
      </w:tblGrid>
      <w:tr w:rsidR="00415768" w:rsidRPr="00BE1C74" w14:paraId="40DC93C2" w14:textId="77777777" w:rsidTr="00CD6BFB">
        <w:tc>
          <w:tcPr>
            <w:tcW w:w="2633" w:type="dxa"/>
            <w:shd w:val="clear" w:color="auto" w:fill="auto"/>
          </w:tcPr>
          <w:p w14:paraId="43BDDB86" w14:textId="77777777" w:rsidR="00415768" w:rsidRPr="00BE1C74" w:rsidRDefault="00415768" w:rsidP="00CD6BFB">
            <w:pPr>
              <w:widowControl w:val="0"/>
              <w:tabs>
                <w:tab w:val="left" w:pos="0"/>
              </w:tabs>
              <w:jc w:val="center"/>
              <w:rPr>
                <w:lang w:val="uk-UA"/>
              </w:rPr>
            </w:pPr>
            <w:r w:rsidRPr="00BE1C74">
              <w:rPr>
                <w:lang w:val="uk-UA"/>
              </w:rPr>
              <w:t>Маса тіла собаки (кг)</w:t>
            </w:r>
          </w:p>
        </w:tc>
        <w:tc>
          <w:tcPr>
            <w:tcW w:w="2633" w:type="dxa"/>
            <w:shd w:val="clear" w:color="auto" w:fill="auto"/>
          </w:tcPr>
          <w:p w14:paraId="659B70C7" w14:textId="77777777" w:rsidR="00415768" w:rsidRPr="00BE1C74" w:rsidRDefault="00415768" w:rsidP="00CD6BFB">
            <w:pPr>
              <w:widowControl w:val="0"/>
              <w:tabs>
                <w:tab w:val="left" w:pos="0"/>
              </w:tabs>
              <w:jc w:val="center"/>
              <w:rPr>
                <w:lang w:val="uk-UA"/>
              </w:rPr>
            </w:pPr>
            <w:r w:rsidRPr="00BE1C74">
              <w:rPr>
                <w:lang w:val="uk-UA"/>
              </w:rPr>
              <w:t xml:space="preserve">Таблетки, що містять </w:t>
            </w:r>
          </w:p>
          <w:p w14:paraId="17427EFA" w14:textId="77777777" w:rsidR="00415768" w:rsidRPr="00BE1C74" w:rsidRDefault="00415768" w:rsidP="00CD6BFB">
            <w:pPr>
              <w:widowControl w:val="0"/>
              <w:tabs>
                <w:tab w:val="left" w:pos="0"/>
              </w:tabs>
              <w:jc w:val="center"/>
              <w:rPr>
                <w:lang w:val="uk-UA"/>
              </w:rPr>
            </w:pPr>
            <w:r w:rsidRPr="00BE1C74">
              <w:rPr>
                <w:lang w:val="uk-UA"/>
              </w:rPr>
              <w:t>1,25 мг пімобендану</w:t>
            </w:r>
          </w:p>
        </w:tc>
        <w:tc>
          <w:tcPr>
            <w:tcW w:w="2633" w:type="dxa"/>
            <w:shd w:val="clear" w:color="auto" w:fill="auto"/>
          </w:tcPr>
          <w:p w14:paraId="6D0DF9E2" w14:textId="77777777" w:rsidR="00415768" w:rsidRPr="00BE1C74" w:rsidRDefault="00415768" w:rsidP="00CD6BFB">
            <w:pPr>
              <w:widowControl w:val="0"/>
              <w:tabs>
                <w:tab w:val="left" w:pos="0"/>
              </w:tabs>
              <w:jc w:val="center"/>
              <w:rPr>
                <w:lang w:val="uk-UA"/>
              </w:rPr>
            </w:pPr>
            <w:r w:rsidRPr="00BE1C74">
              <w:rPr>
                <w:lang w:val="uk-UA"/>
              </w:rPr>
              <w:t xml:space="preserve">Таблетки, що містять </w:t>
            </w:r>
          </w:p>
          <w:p w14:paraId="4C3854BA" w14:textId="77777777" w:rsidR="00415768" w:rsidRPr="00BE1C74" w:rsidRDefault="00415768" w:rsidP="00CD6BFB">
            <w:pPr>
              <w:widowControl w:val="0"/>
              <w:tabs>
                <w:tab w:val="left" w:pos="0"/>
              </w:tabs>
              <w:jc w:val="center"/>
              <w:rPr>
                <w:lang w:val="uk-UA"/>
              </w:rPr>
            </w:pPr>
            <w:r w:rsidRPr="00BE1C74">
              <w:rPr>
                <w:lang w:val="uk-UA"/>
              </w:rPr>
              <w:t>5 мг пімобендану</w:t>
            </w:r>
          </w:p>
        </w:tc>
        <w:tc>
          <w:tcPr>
            <w:tcW w:w="2634" w:type="dxa"/>
            <w:shd w:val="clear" w:color="auto" w:fill="auto"/>
          </w:tcPr>
          <w:p w14:paraId="281746B4" w14:textId="77777777" w:rsidR="00415768" w:rsidRPr="00BE1C74" w:rsidRDefault="00415768" w:rsidP="00CD6BFB">
            <w:pPr>
              <w:widowControl w:val="0"/>
              <w:tabs>
                <w:tab w:val="left" w:pos="0"/>
              </w:tabs>
              <w:jc w:val="center"/>
              <w:rPr>
                <w:lang w:val="uk-UA"/>
              </w:rPr>
            </w:pPr>
            <w:r w:rsidRPr="00BE1C74">
              <w:rPr>
                <w:lang w:val="uk-UA"/>
              </w:rPr>
              <w:t xml:space="preserve">Таблетки, що містять </w:t>
            </w:r>
          </w:p>
          <w:p w14:paraId="200026C8" w14:textId="77777777" w:rsidR="00415768" w:rsidRPr="00BE1C74" w:rsidRDefault="00415768" w:rsidP="00CD6BFB">
            <w:pPr>
              <w:widowControl w:val="0"/>
              <w:tabs>
                <w:tab w:val="left" w:pos="0"/>
              </w:tabs>
              <w:jc w:val="center"/>
              <w:rPr>
                <w:lang w:val="uk-UA"/>
              </w:rPr>
            </w:pPr>
            <w:r w:rsidRPr="00BE1C74">
              <w:rPr>
                <w:lang w:val="uk-UA"/>
              </w:rPr>
              <w:t>10 мг пімобендану</w:t>
            </w:r>
          </w:p>
        </w:tc>
      </w:tr>
      <w:tr w:rsidR="00415768" w:rsidRPr="00BE1C74" w14:paraId="30E3607C" w14:textId="77777777" w:rsidTr="00CD6BFB">
        <w:tc>
          <w:tcPr>
            <w:tcW w:w="2633" w:type="dxa"/>
            <w:shd w:val="clear" w:color="auto" w:fill="auto"/>
          </w:tcPr>
          <w:p w14:paraId="691D4FCB" w14:textId="77777777" w:rsidR="00415768" w:rsidRPr="00BE1C74" w:rsidRDefault="00415768" w:rsidP="00CD6BFB">
            <w:pPr>
              <w:widowControl w:val="0"/>
              <w:tabs>
                <w:tab w:val="left" w:pos="0"/>
              </w:tabs>
              <w:jc w:val="center"/>
              <w:rPr>
                <w:lang w:val="uk-UA"/>
              </w:rPr>
            </w:pPr>
            <w:r w:rsidRPr="00BE1C74">
              <w:rPr>
                <w:lang w:val="uk-UA"/>
              </w:rPr>
              <w:t>2</w:t>
            </w:r>
            <w:r w:rsidRPr="00BE1C74">
              <w:rPr>
                <w:lang w:val="en-US"/>
              </w:rPr>
              <w:t>,</w:t>
            </w:r>
            <w:r w:rsidRPr="00BE1C74">
              <w:rPr>
                <w:lang w:val="uk-UA"/>
              </w:rPr>
              <w:t xml:space="preserve">5 – </w:t>
            </w:r>
            <w:r w:rsidRPr="00BE1C74">
              <w:rPr>
                <w:lang w:val="en-US"/>
              </w:rPr>
              <w:t>4,9</w:t>
            </w:r>
          </w:p>
        </w:tc>
        <w:tc>
          <w:tcPr>
            <w:tcW w:w="2633" w:type="dxa"/>
            <w:shd w:val="clear" w:color="auto" w:fill="auto"/>
          </w:tcPr>
          <w:p w14:paraId="248B022E" w14:textId="77777777" w:rsidR="00415768" w:rsidRPr="00BE1C74" w:rsidRDefault="00415768" w:rsidP="00CD6BFB">
            <w:pPr>
              <w:widowControl w:val="0"/>
              <w:tabs>
                <w:tab w:val="left" w:pos="0"/>
              </w:tabs>
              <w:jc w:val="center"/>
              <w:rPr>
                <w:lang w:val="uk-UA"/>
              </w:rPr>
            </w:pPr>
            <w:r w:rsidRPr="00BE1C74">
              <w:rPr>
                <w:lang w:val="uk-UA" w:eastAsia="uk-UA"/>
              </w:rPr>
              <w:t xml:space="preserve">½ </w:t>
            </w:r>
          </w:p>
        </w:tc>
        <w:tc>
          <w:tcPr>
            <w:tcW w:w="2633" w:type="dxa"/>
            <w:shd w:val="clear" w:color="auto" w:fill="auto"/>
          </w:tcPr>
          <w:p w14:paraId="03DF539D" w14:textId="77777777" w:rsidR="00415768" w:rsidRPr="00BE1C74" w:rsidRDefault="00415768" w:rsidP="00CD6BFB">
            <w:pPr>
              <w:widowControl w:val="0"/>
              <w:tabs>
                <w:tab w:val="left" w:pos="0"/>
              </w:tabs>
              <w:jc w:val="center"/>
              <w:rPr>
                <w:lang w:val="uk-UA"/>
              </w:rPr>
            </w:pPr>
          </w:p>
        </w:tc>
        <w:tc>
          <w:tcPr>
            <w:tcW w:w="2634" w:type="dxa"/>
            <w:shd w:val="clear" w:color="auto" w:fill="auto"/>
          </w:tcPr>
          <w:p w14:paraId="29976AA7" w14:textId="77777777" w:rsidR="00415768" w:rsidRPr="00BE1C74" w:rsidRDefault="00415768" w:rsidP="00CD6BFB">
            <w:pPr>
              <w:widowControl w:val="0"/>
              <w:tabs>
                <w:tab w:val="left" w:pos="0"/>
              </w:tabs>
              <w:jc w:val="center"/>
              <w:rPr>
                <w:lang w:val="uk-UA"/>
              </w:rPr>
            </w:pPr>
          </w:p>
        </w:tc>
      </w:tr>
      <w:tr w:rsidR="00415768" w:rsidRPr="00BE1C74" w14:paraId="6FCB70C0" w14:textId="77777777" w:rsidTr="00CD6BFB">
        <w:tc>
          <w:tcPr>
            <w:tcW w:w="2633" w:type="dxa"/>
            <w:shd w:val="clear" w:color="auto" w:fill="auto"/>
          </w:tcPr>
          <w:p w14:paraId="1DF94A65" w14:textId="77777777" w:rsidR="00415768" w:rsidRPr="00BE1C74" w:rsidRDefault="00415768" w:rsidP="00CD6BFB">
            <w:pPr>
              <w:widowControl w:val="0"/>
              <w:tabs>
                <w:tab w:val="left" w:pos="0"/>
              </w:tabs>
              <w:jc w:val="center"/>
              <w:rPr>
                <w:lang w:val="uk-UA"/>
              </w:rPr>
            </w:pPr>
            <w:r w:rsidRPr="00BE1C74">
              <w:rPr>
                <w:lang w:val="uk-UA"/>
              </w:rPr>
              <w:t>5</w:t>
            </w:r>
            <w:r w:rsidRPr="00BE1C74">
              <w:rPr>
                <w:lang w:val="en-US"/>
              </w:rPr>
              <w:t>,0</w:t>
            </w:r>
            <w:r w:rsidRPr="00BE1C74">
              <w:rPr>
                <w:lang w:val="uk-UA"/>
              </w:rPr>
              <w:t xml:space="preserve"> – </w:t>
            </w:r>
            <w:r w:rsidRPr="00BE1C74">
              <w:rPr>
                <w:lang w:val="en-US"/>
              </w:rPr>
              <w:t>9,9</w:t>
            </w:r>
          </w:p>
        </w:tc>
        <w:tc>
          <w:tcPr>
            <w:tcW w:w="2633" w:type="dxa"/>
            <w:shd w:val="clear" w:color="auto" w:fill="auto"/>
          </w:tcPr>
          <w:p w14:paraId="7FA7B3E5" w14:textId="77777777" w:rsidR="00415768" w:rsidRPr="00BE1C74" w:rsidRDefault="00415768" w:rsidP="00CD6BFB">
            <w:pPr>
              <w:widowControl w:val="0"/>
              <w:tabs>
                <w:tab w:val="left" w:pos="0"/>
              </w:tabs>
              <w:jc w:val="center"/>
              <w:rPr>
                <w:lang w:val="uk-UA"/>
              </w:rPr>
            </w:pPr>
            <w:r w:rsidRPr="00BE1C74">
              <w:rPr>
                <w:lang w:val="uk-UA" w:eastAsia="uk-UA"/>
              </w:rPr>
              <w:t>1</w:t>
            </w:r>
          </w:p>
        </w:tc>
        <w:tc>
          <w:tcPr>
            <w:tcW w:w="2633" w:type="dxa"/>
            <w:shd w:val="clear" w:color="auto" w:fill="auto"/>
          </w:tcPr>
          <w:p w14:paraId="5FAD42AA" w14:textId="77777777" w:rsidR="00415768" w:rsidRPr="00BE1C74" w:rsidRDefault="00415768" w:rsidP="00CD6BFB">
            <w:pPr>
              <w:widowControl w:val="0"/>
              <w:tabs>
                <w:tab w:val="left" w:pos="0"/>
              </w:tabs>
              <w:jc w:val="center"/>
              <w:rPr>
                <w:lang w:val="uk-UA"/>
              </w:rPr>
            </w:pPr>
          </w:p>
        </w:tc>
        <w:tc>
          <w:tcPr>
            <w:tcW w:w="2634" w:type="dxa"/>
            <w:shd w:val="clear" w:color="auto" w:fill="auto"/>
          </w:tcPr>
          <w:p w14:paraId="14E351F2" w14:textId="77777777" w:rsidR="00415768" w:rsidRPr="00BE1C74" w:rsidRDefault="00415768" w:rsidP="00CD6BFB">
            <w:pPr>
              <w:widowControl w:val="0"/>
              <w:tabs>
                <w:tab w:val="left" w:pos="0"/>
              </w:tabs>
              <w:jc w:val="center"/>
              <w:rPr>
                <w:lang w:val="uk-UA"/>
              </w:rPr>
            </w:pPr>
          </w:p>
        </w:tc>
      </w:tr>
      <w:tr w:rsidR="00415768" w:rsidRPr="00BE1C74" w14:paraId="078EC56D" w14:textId="77777777" w:rsidTr="00CD6BFB">
        <w:tc>
          <w:tcPr>
            <w:tcW w:w="2633" w:type="dxa"/>
            <w:shd w:val="clear" w:color="auto" w:fill="auto"/>
          </w:tcPr>
          <w:p w14:paraId="6AB16CA9" w14:textId="77777777" w:rsidR="00415768" w:rsidRPr="00BE1C74" w:rsidRDefault="00415768" w:rsidP="00CD6BFB">
            <w:pPr>
              <w:widowControl w:val="0"/>
              <w:tabs>
                <w:tab w:val="left" w:pos="0"/>
              </w:tabs>
              <w:jc w:val="center"/>
              <w:rPr>
                <w:lang w:val="uk-UA"/>
              </w:rPr>
            </w:pPr>
            <w:r w:rsidRPr="00BE1C74">
              <w:rPr>
                <w:lang w:val="uk-UA"/>
              </w:rPr>
              <w:t>10</w:t>
            </w:r>
            <w:r w:rsidRPr="00BE1C74">
              <w:rPr>
                <w:lang w:val="en-US"/>
              </w:rPr>
              <w:t>,0</w:t>
            </w:r>
            <w:r w:rsidRPr="00BE1C74">
              <w:rPr>
                <w:lang w:val="uk-UA"/>
              </w:rPr>
              <w:t xml:space="preserve"> – </w:t>
            </w:r>
            <w:r w:rsidRPr="00BE1C74">
              <w:rPr>
                <w:lang w:val="en-US"/>
              </w:rPr>
              <w:t>19,9</w:t>
            </w:r>
          </w:p>
        </w:tc>
        <w:tc>
          <w:tcPr>
            <w:tcW w:w="2633" w:type="dxa"/>
            <w:shd w:val="clear" w:color="auto" w:fill="auto"/>
          </w:tcPr>
          <w:p w14:paraId="33A2736D" w14:textId="77777777" w:rsidR="00415768" w:rsidRPr="00BE1C74" w:rsidRDefault="00415768" w:rsidP="00CD6BFB">
            <w:pPr>
              <w:widowControl w:val="0"/>
              <w:tabs>
                <w:tab w:val="left" w:pos="0"/>
              </w:tabs>
              <w:jc w:val="center"/>
              <w:rPr>
                <w:lang w:val="uk-UA"/>
              </w:rPr>
            </w:pPr>
          </w:p>
        </w:tc>
        <w:tc>
          <w:tcPr>
            <w:tcW w:w="2633" w:type="dxa"/>
            <w:shd w:val="clear" w:color="auto" w:fill="auto"/>
          </w:tcPr>
          <w:p w14:paraId="7A32E2E1" w14:textId="77777777" w:rsidR="00415768" w:rsidRPr="00BE1C74" w:rsidRDefault="00415768" w:rsidP="00CD6BFB">
            <w:pPr>
              <w:widowControl w:val="0"/>
              <w:tabs>
                <w:tab w:val="left" w:pos="0"/>
              </w:tabs>
              <w:jc w:val="center"/>
              <w:rPr>
                <w:lang w:val="uk-UA"/>
              </w:rPr>
            </w:pPr>
            <w:r w:rsidRPr="00BE1C74">
              <w:rPr>
                <w:lang w:val="uk-UA" w:eastAsia="uk-UA"/>
              </w:rPr>
              <w:t xml:space="preserve">½ </w:t>
            </w:r>
          </w:p>
        </w:tc>
        <w:tc>
          <w:tcPr>
            <w:tcW w:w="2634" w:type="dxa"/>
            <w:shd w:val="clear" w:color="auto" w:fill="auto"/>
          </w:tcPr>
          <w:p w14:paraId="0D36BA1E" w14:textId="77777777" w:rsidR="00415768" w:rsidRPr="00BE1C74" w:rsidRDefault="00415768" w:rsidP="00CD6BFB">
            <w:pPr>
              <w:widowControl w:val="0"/>
              <w:tabs>
                <w:tab w:val="left" w:pos="0"/>
              </w:tabs>
              <w:jc w:val="center"/>
              <w:rPr>
                <w:lang w:val="uk-UA"/>
              </w:rPr>
            </w:pPr>
          </w:p>
        </w:tc>
      </w:tr>
      <w:tr w:rsidR="00415768" w:rsidRPr="00BE1C74" w14:paraId="0395EA93" w14:textId="77777777" w:rsidTr="00CD6BFB">
        <w:tc>
          <w:tcPr>
            <w:tcW w:w="2633" w:type="dxa"/>
            <w:shd w:val="clear" w:color="auto" w:fill="auto"/>
          </w:tcPr>
          <w:p w14:paraId="0B38A6BD" w14:textId="77777777" w:rsidR="00415768" w:rsidRPr="00BE1C74" w:rsidRDefault="00415768" w:rsidP="00CD6BFB">
            <w:pPr>
              <w:widowControl w:val="0"/>
              <w:tabs>
                <w:tab w:val="left" w:pos="0"/>
              </w:tabs>
              <w:jc w:val="center"/>
              <w:rPr>
                <w:lang w:val="uk-UA"/>
              </w:rPr>
            </w:pPr>
            <w:r w:rsidRPr="00BE1C74">
              <w:rPr>
                <w:lang w:val="uk-UA"/>
              </w:rPr>
              <w:t>20</w:t>
            </w:r>
            <w:r w:rsidRPr="00BE1C74">
              <w:rPr>
                <w:lang w:val="en-US"/>
              </w:rPr>
              <w:t>,0</w:t>
            </w:r>
            <w:r w:rsidRPr="00BE1C74">
              <w:rPr>
                <w:lang w:val="uk-UA"/>
              </w:rPr>
              <w:t xml:space="preserve"> – </w:t>
            </w:r>
            <w:r w:rsidRPr="00BE1C74">
              <w:rPr>
                <w:lang w:val="en-US"/>
              </w:rPr>
              <w:t>39,9</w:t>
            </w:r>
          </w:p>
        </w:tc>
        <w:tc>
          <w:tcPr>
            <w:tcW w:w="2633" w:type="dxa"/>
            <w:shd w:val="clear" w:color="auto" w:fill="auto"/>
          </w:tcPr>
          <w:p w14:paraId="176166B9" w14:textId="77777777" w:rsidR="00415768" w:rsidRPr="00BE1C74" w:rsidRDefault="00415768" w:rsidP="00CD6BFB">
            <w:pPr>
              <w:widowControl w:val="0"/>
              <w:tabs>
                <w:tab w:val="left" w:pos="0"/>
              </w:tabs>
              <w:jc w:val="center"/>
              <w:rPr>
                <w:lang w:val="uk-UA"/>
              </w:rPr>
            </w:pPr>
          </w:p>
        </w:tc>
        <w:tc>
          <w:tcPr>
            <w:tcW w:w="2633" w:type="dxa"/>
            <w:shd w:val="clear" w:color="auto" w:fill="auto"/>
          </w:tcPr>
          <w:p w14:paraId="0EAE7451" w14:textId="77777777" w:rsidR="00415768" w:rsidRPr="00BE1C74" w:rsidRDefault="00415768" w:rsidP="00CD6BFB">
            <w:pPr>
              <w:widowControl w:val="0"/>
              <w:tabs>
                <w:tab w:val="left" w:pos="0"/>
              </w:tabs>
              <w:jc w:val="center"/>
              <w:rPr>
                <w:lang w:val="uk-UA"/>
              </w:rPr>
            </w:pPr>
            <w:r w:rsidRPr="00BE1C74">
              <w:rPr>
                <w:lang w:val="uk-UA" w:eastAsia="uk-UA"/>
              </w:rPr>
              <w:t>1</w:t>
            </w:r>
          </w:p>
        </w:tc>
        <w:tc>
          <w:tcPr>
            <w:tcW w:w="2634" w:type="dxa"/>
            <w:shd w:val="clear" w:color="auto" w:fill="auto"/>
          </w:tcPr>
          <w:p w14:paraId="55B1083D" w14:textId="77777777" w:rsidR="00415768" w:rsidRPr="00BE1C74" w:rsidRDefault="00415768" w:rsidP="00CD6BFB">
            <w:pPr>
              <w:widowControl w:val="0"/>
              <w:tabs>
                <w:tab w:val="left" w:pos="0"/>
              </w:tabs>
              <w:jc w:val="center"/>
              <w:rPr>
                <w:lang w:val="uk-UA"/>
              </w:rPr>
            </w:pPr>
          </w:p>
        </w:tc>
      </w:tr>
      <w:tr w:rsidR="00415768" w:rsidRPr="00BE1C74" w14:paraId="5867D44C" w14:textId="77777777" w:rsidTr="00CD6BFB">
        <w:tc>
          <w:tcPr>
            <w:tcW w:w="2633" w:type="dxa"/>
            <w:shd w:val="clear" w:color="auto" w:fill="auto"/>
          </w:tcPr>
          <w:p w14:paraId="2954B7C9" w14:textId="77777777" w:rsidR="00415768" w:rsidRPr="00BE1C74" w:rsidRDefault="00415768" w:rsidP="00CD6BFB">
            <w:pPr>
              <w:widowControl w:val="0"/>
              <w:tabs>
                <w:tab w:val="left" w:pos="0"/>
              </w:tabs>
              <w:jc w:val="center"/>
              <w:rPr>
                <w:lang w:val="uk-UA"/>
              </w:rPr>
            </w:pPr>
            <w:r w:rsidRPr="00BE1C74">
              <w:rPr>
                <w:lang w:val="uk-UA"/>
              </w:rPr>
              <w:t>40</w:t>
            </w:r>
            <w:r w:rsidRPr="00BE1C74">
              <w:rPr>
                <w:lang w:val="en-US"/>
              </w:rPr>
              <w:t>,0</w:t>
            </w:r>
            <w:r w:rsidRPr="00BE1C74">
              <w:rPr>
                <w:lang w:val="uk-UA"/>
              </w:rPr>
              <w:t xml:space="preserve"> – </w:t>
            </w:r>
            <w:r w:rsidRPr="00BE1C74">
              <w:rPr>
                <w:lang w:val="en-US"/>
              </w:rPr>
              <w:t>59,9</w:t>
            </w:r>
          </w:p>
        </w:tc>
        <w:tc>
          <w:tcPr>
            <w:tcW w:w="2633" w:type="dxa"/>
            <w:shd w:val="clear" w:color="auto" w:fill="auto"/>
          </w:tcPr>
          <w:p w14:paraId="321B5E35" w14:textId="77777777" w:rsidR="00415768" w:rsidRPr="00BE1C74" w:rsidRDefault="00415768" w:rsidP="00CD6BFB">
            <w:pPr>
              <w:widowControl w:val="0"/>
              <w:tabs>
                <w:tab w:val="left" w:pos="0"/>
              </w:tabs>
              <w:jc w:val="center"/>
              <w:rPr>
                <w:lang w:val="uk-UA"/>
              </w:rPr>
            </w:pPr>
          </w:p>
        </w:tc>
        <w:tc>
          <w:tcPr>
            <w:tcW w:w="2633" w:type="dxa"/>
            <w:shd w:val="clear" w:color="auto" w:fill="auto"/>
          </w:tcPr>
          <w:p w14:paraId="5EF9D5F8" w14:textId="77777777" w:rsidR="00415768" w:rsidRPr="00BE1C74" w:rsidRDefault="00415768" w:rsidP="00CD6BFB">
            <w:pPr>
              <w:widowControl w:val="0"/>
              <w:tabs>
                <w:tab w:val="left" w:pos="0"/>
              </w:tabs>
              <w:jc w:val="center"/>
              <w:rPr>
                <w:lang w:val="uk-UA"/>
              </w:rPr>
            </w:pPr>
          </w:p>
        </w:tc>
        <w:tc>
          <w:tcPr>
            <w:tcW w:w="2634" w:type="dxa"/>
            <w:shd w:val="clear" w:color="auto" w:fill="auto"/>
          </w:tcPr>
          <w:p w14:paraId="31926635" w14:textId="77777777" w:rsidR="00415768" w:rsidRPr="00BE1C74" w:rsidRDefault="00415768" w:rsidP="00CD6BFB">
            <w:pPr>
              <w:widowControl w:val="0"/>
              <w:tabs>
                <w:tab w:val="left" w:pos="0"/>
              </w:tabs>
              <w:jc w:val="center"/>
              <w:rPr>
                <w:lang w:val="uk-UA"/>
              </w:rPr>
            </w:pPr>
            <w:r w:rsidRPr="00BE1C74">
              <w:rPr>
                <w:lang w:val="uk-UA" w:eastAsia="uk-UA"/>
              </w:rPr>
              <w:t>1</w:t>
            </w:r>
          </w:p>
        </w:tc>
      </w:tr>
      <w:tr w:rsidR="00415768" w:rsidRPr="00BE1C74" w14:paraId="05ACD64A" w14:textId="77777777" w:rsidTr="00CD6BFB">
        <w:tc>
          <w:tcPr>
            <w:tcW w:w="2633" w:type="dxa"/>
            <w:shd w:val="clear" w:color="auto" w:fill="auto"/>
          </w:tcPr>
          <w:p w14:paraId="224847AB" w14:textId="77777777" w:rsidR="00415768" w:rsidRPr="00BE1C74" w:rsidRDefault="00415768" w:rsidP="00CD6BFB">
            <w:pPr>
              <w:widowControl w:val="0"/>
              <w:tabs>
                <w:tab w:val="left" w:pos="0"/>
              </w:tabs>
              <w:jc w:val="center"/>
              <w:rPr>
                <w:lang w:val="uk-UA"/>
              </w:rPr>
            </w:pPr>
            <w:r w:rsidRPr="00BE1C74">
              <w:rPr>
                <w:lang w:val="uk-UA"/>
              </w:rPr>
              <w:t>60</w:t>
            </w:r>
            <w:r w:rsidRPr="00BE1C74">
              <w:rPr>
                <w:lang w:val="en-US"/>
              </w:rPr>
              <w:t>,0</w:t>
            </w:r>
            <w:r w:rsidRPr="00BE1C74">
              <w:rPr>
                <w:lang w:val="uk-UA"/>
              </w:rPr>
              <w:t xml:space="preserve"> – </w:t>
            </w:r>
            <w:r w:rsidRPr="00BE1C74">
              <w:rPr>
                <w:lang w:val="en-US"/>
              </w:rPr>
              <w:t>79,99</w:t>
            </w:r>
          </w:p>
        </w:tc>
        <w:tc>
          <w:tcPr>
            <w:tcW w:w="2633" w:type="dxa"/>
            <w:shd w:val="clear" w:color="auto" w:fill="auto"/>
          </w:tcPr>
          <w:p w14:paraId="49F23FB7" w14:textId="77777777" w:rsidR="00415768" w:rsidRPr="00BE1C74" w:rsidRDefault="00415768" w:rsidP="00CD6BFB">
            <w:pPr>
              <w:widowControl w:val="0"/>
              <w:tabs>
                <w:tab w:val="left" w:pos="0"/>
              </w:tabs>
              <w:jc w:val="center"/>
              <w:rPr>
                <w:lang w:val="uk-UA"/>
              </w:rPr>
            </w:pPr>
          </w:p>
        </w:tc>
        <w:tc>
          <w:tcPr>
            <w:tcW w:w="2633" w:type="dxa"/>
            <w:shd w:val="clear" w:color="auto" w:fill="auto"/>
          </w:tcPr>
          <w:p w14:paraId="6D832C17" w14:textId="77777777" w:rsidR="00415768" w:rsidRPr="00BE1C74" w:rsidRDefault="00415768" w:rsidP="00CD6BFB">
            <w:pPr>
              <w:widowControl w:val="0"/>
              <w:tabs>
                <w:tab w:val="left" w:pos="0"/>
              </w:tabs>
              <w:jc w:val="center"/>
              <w:rPr>
                <w:lang w:val="uk-UA"/>
              </w:rPr>
            </w:pPr>
          </w:p>
        </w:tc>
        <w:tc>
          <w:tcPr>
            <w:tcW w:w="2634" w:type="dxa"/>
            <w:shd w:val="clear" w:color="auto" w:fill="auto"/>
          </w:tcPr>
          <w:p w14:paraId="5C3F5BAD" w14:textId="77777777" w:rsidR="00415768" w:rsidRPr="00BE1C74" w:rsidRDefault="00415768" w:rsidP="00CD6BFB">
            <w:pPr>
              <w:widowControl w:val="0"/>
              <w:tabs>
                <w:tab w:val="left" w:pos="0"/>
              </w:tabs>
              <w:jc w:val="center"/>
              <w:rPr>
                <w:lang w:val="uk-UA"/>
              </w:rPr>
            </w:pPr>
            <w:r w:rsidRPr="00BE1C74">
              <w:rPr>
                <w:lang w:val="uk-UA" w:eastAsia="uk-UA"/>
              </w:rPr>
              <w:t xml:space="preserve">1 ½ </w:t>
            </w:r>
          </w:p>
        </w:tc>
      </w:tr>
    </w:tbl>
    <w:p w14:paraId="52A59193" w14:textId="77777777" w:rsidR="00415768" w:rsidRPr="0099302A" w:rsidRDefault="00415768" w:rsidP="00415768">
      <w:pPr>
        <w:widowControl w:val="0"/>
        <w:tabs>
          <w:tab w:val="left" w:pos="0"/>
        </w:tabs>
        <w:ind w:firstLine="567"/>
        <w:jc w:val="both"/>
        <w:rPr>
          <w:highlight w:val="yellow"/>
          <w:lang w:val="uk-UA"/>
        </w:rPr>
      </w:pPr>
      <w:r w:rsidRPr="0099302A">
        <w:rPr>
          <w:lang w:val="uk-UA"/>
        </w:rPr>
        <w:t>Ветеринарний препарат можна комбінувати з сечогінними засобами.</w:t>
      </w:r>
    </w:p>
    <w:p w14:paraId="34CE9330" w14:textId="77777777" w:rsidR="00415768" w:rsidRPr="0099302A" w:rsidRDefault="00415768" w:rsidP="00415768">
      <w:pPr>
        <w:widowControl w:val="0"/>
        <w:tabs>
          <w:tab w:val="left" w:pos="0"/>
        </w:tabs>
        <w:ind w:firstLine="567"/>
        <w:jc w:val="both"/>
        <w:rPr>
          <w:b/>
          <w:lang w:val="uk-UA"/>
        </w:rPr>
      </w:pPr>
      <w:r w:rsidRPr="0099302A">
        <w:rPr>
          <w:b/>
          <w:lang w:val="uk-UA"/>
        </w:rPr>
        <w:t>5.9 Передозування (симптоми, невідкладні заходи, антидоти)</w:t>
      </w:r>
    </w:p>
    <w:p w14:paraId="73F169A8" w14:textId="77777777" w:rsidR="00415768" w:rsidRPr="0099302A" w:rsidRDefault="00415768" w:rsidP="00415768">
      <w:pPr>
        <w:widowControl w:val="0"/>
        <w:ind w:firstLine="567"/>
        <w:jc w:val="both"/>
        <w:rPr>
          <w:lang w:val="uk-UA"/>
        </w:rPr>
      </w:pPr>
      <w:r w:rsidRPr="0099302A">
        <w:rPr>
          <w:lang w:val="uk-UA"/>
        </w:rPr>
        <w:t>У разі передозування може спостерігатися позитивний хронотропний ефект, блювання, апатія, атаксія, серцеві шуми або артеріальна гіпотензія.  У такій ситуації слід зменшити дозу та розпочати відповідне симптоматичне лікування.</w:t>
      </w:r>
    </w:p>
    <w:p w14:paraId="0F6F4E57" w14:textId="77777777" w:rsidR="00415768" w:rsidRPr="0099302A" w:rsidRDefault="00415768" w:rsidP="00415768">
      <w:pPr>
        <w:widowControl w:val="0"/>
        <w:ind w:firstLine="567"/>
        <w:jc w:val="both"/>
        <w:rPr>
          <w:highlight w:val="yellow"/>
          <w:lang w:val="uk-UA"/>
        </w:rPr>
      </w:pPr>
      <w:r w:rsidRPr="0099302A">
        <w:rPr>
          <w:lang w:val="uk-UA"/>
        </w:rPr>
        <w:t>При тривалому застосуванні (6 місяців) здоровим собакам породи бігль у дозах, що в 3 та 5 разів перевищували рекомендовані, у деяких собак спостерігалося потовщення мітрального клапана та гіпертрофія лівого шлуночка. Ці зміни мають фармакодинамічне походження.</w:t>
      </w:r>
    </w:p>
    <w:p w14:paraId="3C1D2045" w14:textId="77777777" w:rsidR="00415768" w:rsidRPr="0099302A" w:rsidRDefault="00415768" w:rsidP="00415768">
      <w:pPr>
        <w:widowControl w:val="0"/>
        <w:ind w:firstLine="567"/>
        <w:jc w:val="both"/>
        <w:rPr>
          <w:b/>
          <w:lang w:val="uk-UA"/>
        </w:rPr>
      </w:pPr>
      <w:r w:rsidRPr="0099302A">
        <w:rPr>
          <w:b/>
          <w:lang w:val="uk-UA"/>
        </w:rPr>
        <w:t>5.10 Спеціальні застереження</w:t>
      </w:r>
    </w:p>
    <w:p w14:paraId="7A766875" w14:textId="37CD5815" w:rsidR="00C00A07" w:rsidRPr="0099302A" w:rsidRDefault="00415768" w:rsidP="00C00A07">
      <w:pPr>
        <w:ind w:firstLine="567"/>
        <w:jc w:val="both"/>
        <w:rPr>
          <w:lang w:val="uk-UA"/>
        </w:rPr>
      </w:pPr>
      <w:r w:rsidRPr="0099302A">
        <w:rPr>
          <w:lang w:val="uk-UA"/>
        </w:rPr>
        <w:t>Відсутні.</w:t>
      </w:r>
      <w:bookmarkStart w:id="9" w:name="_Hlk173861841"/>
      <w:bookmarkEnd w:id="7"/>
      <w:bookmarkEnd w:id="8"/>
    </w:p>
    <w:bookmarkEnd w:id="9"/>
    <w:p w14:paraId="2B925128" w14:textId="77777777" w:rsidR="009042D1" w:rsidRPr="0099302A" w:rsidRDefault="009042D1" w:rsidP="009F7962">
      <w:pPr>
        <w:widowControl w:val="0"/>
        <w:ind w:firstLine="567"/>
        <w:jc w:val="both"/>
        <w:rPr>
          <w:b/>
          <w:lang w:val="uk-UA"/>
        </w:rPr>
      </w:pPr>
      <w:r w:rsidRPr="0099302A">
        <w:rPr>
          <w:b/>
          <w:lang w:val="uk-UA"/>
        </w:rPr>
        <w:t>5.11 Період виведення (каренції)</w:t>
      </w:r>
    </w:p>
    <w:p w14:paraId="274040BA" w14:textId="77777777" w:rsidR="00932504" w:rsidRPr="0099302A" w:rsidRDefault="00932504" w:rsidP="0005227B">
      <w:pPr>
        <w:widowControl w:val="0"/>
        <w:ind w:firstLine="567"/>
        <w:jc w:val="both"/>
        <w:rPr>
          <w:lang w:val="uk-UA"/>
        </w:rPr>
      </w:pPr>
      <w:bookmarkStart w:id="10" w:name="_Hlk54788164"/>
      <w:r w:rsidRPr="0099302A">
        <w:rPr>
          <w:lang w:val="uk-UA"/>
        </w:rPr>
        <w:t>Не застосовується.</w:t>
      </w:r>
    </w:p>
    <w:bookmarkEnd w:id="10"/>
    <w:p w14:paraId="66FFE733" w14:textId="77777777" w:rsidR="009042D1" w:rsidRPr="0099302A" w:rsidRDefault="009042D1" w:rsidP="0005227B">
      <w:pPr>
        <w:widowControl w:val="0"/>
        <w:ind w:firstLine="567"/>
        <w:jc w:val="both"/>
        <w:rPr>
          <w:b/>
          <w:lang w:val="uk-UA"/>
        </w:rPr>
      </w:pPr>
      <w:r w:rsidRPr="0099302A">
        <w:rPr>
          <w:b/>
          <w:lang w:val="uk-UA"/>
        </w:rPr>
        <w:t>5.12 Спеціальні застереження для осіб і обслуговуючого персоналу</w:t>
      </w:r>
    </w:p>
    <w:p w14:paraId="0255823F" w14:textId="77777777" w:rsidR="0054487F" w:rsidRPr="0099302A" w:rsidRDefault="0054487F" w:rsidP="0054487F">
      <w:pPr>
        <w:shd w:val="clear" w:color="auto" w:fill="FFFFFF"/>
        <w:tabs>
          <w:tab w:val="left" w:pos="480"/>
        </w:tabs>
        <w:spacing w:before="10" w:line="277" w:lineRule="exact"/>
        <w:ind w:firstLine="567"/>
        <w:jc w:val="both"/>
        <w:rPr>
          <w:lang w:val="uk-UA"/>
        </w:rPr>
      </w:pPr>
      <w:bookmarkStart w:id="11" w:name="_Hlk54788180"/>
      <w:bookmarkStart w:id="12" w:name="_Hlk173861852"/>
      <w:r w:rsidRPr="0099302A">
        <w:rPr>
          <w:lang w:val="uk-UA"/>
        </w:rPr>
        <w:t>Випадковий прийом всередину, особливо дітьми, може призвести до несприятливих явищ, таких як тахікардія, ортостатична гіпотензія, почервоніння обличчя та головний біль.</w:t>
      </w:r>
    </w:p>
    <w:p w14:paraId="257261E3" w14:textId="77777777" w:rsidR="0054487F" w:rsidRPr="0099302A" w:rsidRDefault="0054487F" w:rsidP="0054487F">
      <w:pPr>
        <w:shd w:val="clear" w:color="auto" w:fill="FFFFFF"/>
        <w:tabs>
          <w:tab w:val="left" w:pos="480"/>
        </w:tabs>
        <w:spacing w:before="10" w:line="277" w:lineRule="exact"/>
        <w:ind w:firstLine="567"/>
        <w:jc w:val="both"/>
        <w:rPr>
          <w:lang w:val="uk-UA"/>
        </w:rPr>
      </w:pPr>
      <w:r w:rsidRPr="0099302A">
        <w:rPr>
          <w:lang w:val="uk-UA"/>
        </w:rPr>
        <w:t>Невикористані частини таблеток слід повернути у відкритий блістер або у флакон і вкласти назад у зовнішню упаковку. Зберігати у захищеному від світла та недоступному для дітей місці.</w:t>
      </w:r>
    </w:p>
    <w:p w14:paraId="30220162" w14:textId="77777777" w:rsidR="0054487F" w:rsidRPr="0099302A" w:rsidRDefault="0054487F" w:rsidP="0054487F">
      <w:pPr>
        <w:shd w:val="clear" w:color="auto" w:fill="FFFFFF"/>
        <w:tabs>
          <w:tab w:val="left" w:pos="480"/>
        </w:tabs>
        <w:spacing w:before="10" w:line="277" w:lineRule="exact"/>
        <w:ind w:firstLine="567"/>
        <w:jc w:val="both"/>
        <w:rPr>
          <w:lang w:val="uk-UA"/>
        </w:rPr>
      </w:pPr>
      <w:r w:rsidRPr="0099302A">
        <w:rPr>
          <w:lang w:val="uk-UA"/>
        </w:rPr>
        <w:t>Одразу після вилучення необхідної кількості таблеток або частин таблеток щільно закрити флакон кришкою.</w:t>
      </w:r>
    </w:p>
    <w:bookmarkEnd w:id="11"/>
    <w:p w14:paraId="239BD4C2" w14:textId="77777777" w:rsidR="00DB6497" w:rsidRPr="0099302A" w:rsidRDefault="00DB6497" w:rsidP="00DB6497">
      <w:pPr>
        <w:shd w:val="clear" w:color="auto" w:fill="FFFFFF"/>
        <w:tabs>
          <w:tab w:val="left" w:pos="480"/>
        </w:tabs>
        <w:spacing w:before="10" w:line="277" w:lineRule="exact"/>
        <w:ind w:firstLine="567"/>
        <w:jc w:val="both"/>
        <w:rPr>
          <w:lang w:val="uk-UA"/>
        </w:rPr>
      </w:pPr>
      <w:r w:rsidRPr="0099302A">
        <w:rPr>
          <w:lang w:val="uk-UA"/>
        </w:rPr>
        <w:t xml:space="preserve">У випадку випадкового прийому всередину слід негайно звернутися до лікаря та показати лікарю листівку-вкладку або етикетку. Після роботи з препаратом слід ретельно вимити руки з милом. </w:t>
      </w:r>
      <w:bookmarkEnd w:id="12"/>
    </w:p>
    <w:p w14:paraId="2C3DED3F" w14:textId="77777777" w:rsidR="009042D1" w:rsidRPr="00933424" w:rsidRDefault="009042D1" w:rsidP="00F80335">
      <w:pPr>
        <w:shd w:val="clear" w:color="auto" w:fill="FFFFFF"/>
        <w:tabs>
          <w:tab w:val="left" w:pos="480"/>
        </w:tabs>
        <w:spacing w:before="10" w:line="277" w:lineRule="exact"/>
        <w:ind w:firstLine="567"/>
        <w:jc w:val="both"/>
        <w:rPr>
          <w:b/>
          <w:lang w:val="uk-UA"/>
        </w:rPr>
      </w:pPr>
      <w:r w:rsidRPr="00933424">
        <w:rPr>
          <w:b/>
          <w:lang w:val="uk-UA"/>
        </w:rPr>
        <w:t>6. Фармацевтичні особливості</w:t>
      </w:r>
    </w:p>
    <w:p w14:paraId="5EC34A66" w14:textId="77777777" w:rsidR="009042D1" w:rsidRPr="00933424" w:rsidRDefault="009042D1" w:rsidP="0005227B">
      <w:pPr>
        <w:widowControl w:val="0"/>
        <w:ind w:firstLine="567"/>
        <w:jc w:val="both"/>
        <w:rPr>
          <w:b/>
          <w:lang w:val="uk-UA"/>
        </w:rPr>
      </w:pPr>
      <w:r w:rsidRPr="00933424">
        <w:rPr>
          <w:b/>
          <w:lang w:val="uk-UA"/>
        </w:rPr>
        <w:t>6.1 Форми несумісності</w:t>
      </w:r>
    </w:p>
    <w:p w14:paraId="050A13F5" w14:textId="77777777" w:rsidR="005822EC" w:rsidRPr="00933424" w:rsidRDefault="00C00A07" w:rsidP="0005227B">
      <w:pPr>
        <w:widowControl w:val="0"/>
        <w:ind w:firstLine="567"/>
        <w:jc w:val="both"/>
        <w:rPr>
          <w:lang w:val="uk-UA"/>
        </w:rPr>
      </w:pPr>
      <w:r w:rsidRPr="00933424">
        <w:rPr>
          <w:lang w:val="uk-UA"/>
        </w:rPr>
        <w:t>Не встановлені</w:t>
      </w:r>
      <w:r w:rsidR="005822EC" w:rsidRPr="00933424">
        <w:rPr>
          <w:lang w:val="uk-UA"/>
        </w:rPr>
        <w:t>.</w:t>
      </w:r>
    </w:p>
    <w:p w14:paraId="6EAC5CDE" w14:textId="77777777" w:rsidR="009042D1" w:rsidRPr="00933424" w:rsidRDefault="009042D1" w:rsidP="0005227B">
      <w:pPr>
        <w:widowControl w:val="0"/>
        <w:ind w:firstLine="567"/>
        <w:jc w:val="both"/>
        <w:rPr>
          <w:b/>
          <w:lang w:val="uk-UA"/>
        </w:rPr>
      </w:pPr>
      <w:r w:rsidRPr="00933424">
        <w:rPr>
          <w:b/>
          <w:lang w:val="uk-UA"/>
        </w:rPr>
        <w:t>6.2 Термін придатності</w:t>
      </w:r>
    </w:p>
    <w:p w14:paraId="657399B2" w14:textId="77777777" w:rsidR="00933424" w:rsidRPr="00933424" w:rsidRDefault="00933424" w:rsidP="00933424">
      <w:pPr>
        <w:widowControl w:val="0"/>
        <w:ind w:firstLine="567"/>
        <w:jc w:val="both"/>
        <w:rPr>
          <w:u w:val="single"/>
          <w:lang w:val="uk-UA"/>
        </w:rPr>
      </w:pPr>
      <w:bookmarkStart w:id="13" w:name="_Hlk173861865"/>
      <w:r w:rsidRPr="00933424">
        <w:rPr>
          <w:u w:val="single"/>
          <w:lang w:val="uk-UA"/>
        </w:rPr>
        <w:t>Для блістерів:</w:t>
      </w:r>
      <w:r>
        <w:rPr>
          <w:lang w:val="uk-UA"/>
        </w:rPr>
        <w:t xml:space="preserve"> </w:t>
      </w:r>
      <w:r w:rsidRPr="00933424">
        <w:rPr>
          <w:lang w:val="uk-UA"/>
        </w:rPr>
        <w:t>3 роки</w:t>
      </w:r>
      <w:r>
        <w:rPr>
          <w:lang w:val="uk-UA"/>
        </w:rPr>
        <w:t>.</w:t>
      </w:r>
    </w:p>
    <w:p w14:paraId="1EDC34FB" w14:textId="77777777" w:rsidR="00933424" w:rsidRPr="00933424" w:rsidRDefault="00933424" w:rsidP="00933424">
      <w:pPr>
        <w:widowControl w:val="0"/>
        <w:ind w:firstLine="567"/>
        <w:jc w:val="both"/>
        <w:rPr>
          <w:lang w:val="uk-UA"/>
        </w:rPr>
      </w:pPr>
      <w:r w:rsidRPr="00933424">
        <w:rPr>
          <w:u w:val="single"/>
          <w:lang w:val="uk-UA"/>
        </w:rPr>
        <w:t xml:space="preserve">Для </w:t>
      </w:r>
      <w:r>
        <w:rPr>
          <w:u w:val="single"/>
          <w:lang w:val="uk-UA"/>
        </w:rPr>
        <w:t>флаконів</w:t>
      </w:r>
      <w:r w:rsidRPr="00933424">
        <w:rPr>
          <w:u w:val="single"/>
          <w:lang w:val="uk-UA"/>
        </w:rPr>
        <w:t>:</w:t>
      </w:r>
      <w:r w:rsidRPr="00933424">
        <w:rPr>
          <w:lang w:val="uk-UA"/>
        </w:rPr>
        <w:t xml:space="preserve"> 18 місяців</w:t>
      </w:r>
      <w:r>
        <w:rPr>
          <w:lang w:val="uk-UA"/>
        </w:rPr>
        <w:t>.</w:t>
      </w:r>
    </w:p>
    <w:p w14:paraId="00E94992" w14:textId="77777777" w:rsidR="00933424" w:rsidRDefault="00933424" w:rsidP="00933424">
      <w:pPr>
        <w:widowControl w:val="0"/>
        <w:ind w:firstLine="567"/>
        <w:jc w:val="both"/>
        <w:rPr>
          <w:lang w:val="uk-UA"/>
        </w:rPr>
      </w:pPr>
      <w:r w:rsidRPr="00933424">
        <w:rPr>
          <w:lang w:val="uk-UA"/>
        </w:rPr>
        <w:t>Термін придатності після першого відкриття безпосередньої упаковки: 4 місяці</w:t>
      </w:r>
      <w:r>
        <w:rPr>
          <w:lang w:val="uk-UA"/>
        </w:rPr>
        <w:t>.</w:t>
      </w:r>
    </w:p>
    <w:bookmarkEnd w:id="13"/>
    <w:p w14:paraId="10B804FD" w14:textId="77777777" w:rsidR="009042D1" w:rsidRPr="00933424" w:rsidRDefault="009042D1" w:rsidP="00933424">
      <w:pPr>
        <w:widowControl w:val="0"/>
        <w:ind w:firstLine="567"/>
        <w:jc w:val="both"/>
        <w:rPr>
          <w:b/>
          <w:lang w:val="uk-UA"/>
        </w:rPr>
      </w:pPr>
      <w:r w:rsidRPr="00933424">
        <w:rPr>
          <w:b/>
          <w:lang w:val="uk-UA"/>
        </w:rPr>
        <w:t>6.3 Особливі заходи зберігання</w:t>
      </w:r>
    </w:p>
    <w:p w14:paraId="7EA4120F" w14:textId="77777777" w:rsidR="00933424" w:rsidRPr="00D2616E" w:rsidRDefault="00933424" w:rsidP="00933424">
      <w:pPr>
        <w:widowControl w:val="0"/>
        <w:ind w:firstLine="567"/>
        <w:jc w:val="both"/>
        <w:rPr>
          <w:lang w:val="uk-UA"/>
        </w:rPr>
      </w:pPr>
      <w:bookmarkStart w:id="14" w:name="_Hlk173861878"/>
      <w:r w:rsidRPr="00933424">
        <w:rPr>
          <w:u w:val="single"/>
          <w:lang w:val="uk-UA"/>
        </w:rPr>
        <w:t>Для блістерів:</w:t>
      </w:r>
      <w:r w:rsidRPr="00933424">
        <w:rPr>
          <w:lang w:val="uk-UA"/>
        </w:rPr>
        <w:t xml:space="preserve"> </w:t>
      </w:r>
      <w:r w:rsidR="00AC5DFB">
        <w:rPr>
          <w:lang w:val="uk-UA"/>
        </w:rPr>
        <w:t>розділені</w:t>
      </w:r>
      <w:r w:rsidRPr="00933424">
        <w:rPr>
          <w:lang w:val="uk-UA"/>
        </w:rPr>
        <w:t xml:space="preserve"> таблетки слід повернути у блістер і використати </w:t>
      </w:r>
      <w:r>
        <w:rPr>
          <w:lang w:val="uk-UA"/>
        </w:rPr>
        <w:t>під</w:t>
      </w:r>
      <w:r w:rsidRPr="00933424">
        <w:rPr>
          <w:lang w:val="uk-UA"/>
        </w:rPr>
        <w:t xml:space="preserve"> </w:t>
      </w:r>
      <w:r w:rsidR="00FE70A9" w:rsidRPr="007D69FD">
        <w:rPr>
          <w:lang w:val="uk-UA"/>
        </w:rPr>
        <w:t>час</w:t>
      </w:r>
      <w:r w:rsidR="00FE70A9" w:rsidRPr="00D2616E">
        <w:rPr>
          <w:lang w:val="uk-UA"/>
        </w:rPr>
        <w:t xml:space="preserve"> </w:t>
      </w:r>
      <w:r w:rsidRPr="00D2616E">
        <w:rPr>
          <w:lang w:val="uk-UA"/>
        </w:rPr>
        <w:t>наступного застосування. Зберігати за температури, що не перевищує 30</w:t>
      </w:r>
      <w:r w:rsidR="00FE70A9" w:rsidRPr="00D2616E">
        <w:rPr>
          <w:lang w:val="uk-UA"/>
        </w:rPr>
        <w:t xml:space="preserve"> </w:t>
      </w:r>
      <w:r w:rsidRPr="00D2616E">
        <w:rPr>
          <w:lang w:val="uk-UA"/>
        </w:rPr>
        <w:t>°C.</w:t>
      </w:r>
    </w:p>
    <w:p w14:paraId="7755BEF9" w14:textId="77777777" w:rsidR="00933424" w:rsidRPr="00D2616E" w:rsidRDefault="00933424" w:rsidP="00933424">
      <w:pPr>
        <w:widowControl w:val="0"/>
        <w:ind w:firstLine="567"/>
        <w:jc w:val="both"/>
        <w:rPr>
          <w:lang w:val="uk-UA"/>
        </w:rPr>
      </w:pPr>
      <w:r w:rsidRPr="00D2616E">
        <w:rPr>
          <w:u w:val="single"/>
          <w:lang w:val="uk-UA"/>
        </w:rPr>
        <w:t>Для флаконів</w:t>
      </w:r>
      <w:r w:rsidRPr="00D2616E">
        <w:rPr>
          <w:lang w:val="uk-UA"/>
        </w:rPr>
        <w:t>: зберігати флакон щільно закритим для захисту від вологи.</w:t>
      </w:r>
    </w:p>
    <w:p w14:paraId="2F8C3FE2" w14:textId="77777777" w:rsidR="00933424" w:rsidRDefault="00AC5DFB" w:rsidP="00933424">
      <w:pPr>
        <w:widowControl w:val="0"/>
        <w:ind w:firstLine="567"/>
        <w:jc w:val="both"/>
        <w:rPr>
          <w:lang w:val="uk-UA"/>
        </w:rPr>
      </w:pPr>
      <w:r w:rsidRPr="00D2616E">
        <w:rPr>
          <w:lang w:val="uk-UA"/>
        </w:rPr>
        <w:t>Розділені</w:t>
      </w:r>
      <w:r w:rsidR="00933424" w:rsidRPr="00D2616E">
        <w:rPr>
          <w:lang w:val="uk-UA"/>
        </w:rPr>
        <w:t xml:space="preserve"> таблетки слід повернути у флакон і використати під </w:t>
      </w:r>
      <w:r w:rsidR="00FE70A9" w:rsidRPr="007D69FD">
        <w:rPr>
          <w:lang w:val="uk-UA"/>
        </w:rPr>
        <w:t>час</w:t>
      </w:r>
      <w:r w:rsidR="00FE70A9" w:rsidRPr="00D2616E">
        <w:rPr>
          <w:lang w:val="uk-UA"/>
        </w:rPr>
        <w:t xml:space="preserve"> </w:t>
      </w:r>
      <w:r w:rsidR="00933424" w:rsidRPr="00D2616E">
        <w:rPr>
          <w:lang w:val="uk-UA"/>
        </w:rPr>
        <w:t>наступного застосування. Зберігати за температури, що не перевищує 25</w:t>
      </w:r>
      <w:r w:rsidR="00FE70A9" w:rsidRPr="00D2616E">
        <w:rPr>
          <w:lang w:val="uk-UA"/>
        </w:rPr>
        <w:t xml:space="preserve"> </w:t>
      </w:r>
      <w:r w:rsidR="00933424" w:rsidRPr="00D2616E">
        <w:rPr>
          <w:lang w:val="uk-UA"/>
        </w:rPr>
        <w:t>°C.</w:t>
      </w:r>
    </w:p>
    <w:bookmarkEnd w:id="14"/>
    <w:p w14:paraId="327B8A75" w14:textId="77777777" w:rsidR="009042D1" w:rsidRPr="00933424" w:rsidRDefault="009042D1" w:rsidP="00933424">
      <w:pPr>
        <w:widowControl w:val="0"/>
        <w:ind w:firstLine="567"/>
        <w:jc w:val="both"/>
        <w:rPr>
          <w:b/>
          <w:lang w:val="uk-UA"/>
        </w:rPr>
      </w:pPr>
      <w:r w:rsidRPr="00933424">
        <w:rPr>
          <w:b/>
          <w:lang w:val="uk-UA"/>
        </w:rPr>
        <w:t>6.4 Природа і склад контейнера первинного пакування</w:t>
      </w:r>
    </w:p>
    <w:p w14:paraId="487B7DAD" w14:textId="77777777" w:rsidR="00933424" w:rsidRDefault="00933424" w:rsidP="00933424">
      <w:pPr>
        <w:widowControl w:val="0"/>
        <w:ind w:firstLine="567"/>
        <w:jc w:val="both"/>
        <w:rPr>
          <w:lang w:val="uk-UA"/>
        </w:rPr>
      </w:pPr>
      <w:bookmarkStart w:id="15" w:name="_Hlk173861890"/>
      <w:r>
        <w:rPr>
          <w:lang w:val="uk-UA"/>
        </w:rPr>
        <w:t>Б</w:t>
      </w:r>
      <w:r w:rsidRPr="00933424">
        <w:rPr>
          <w:lang w:val="uk-UA"/>
        </w:rPr>
        <w:t>лістери з поліаміду-алюмінію-полівінілхлориду/алюмінію, запаяні термозварювальним способом</w:t>
      </w:r>
      <w:r>
        <w:rPr>
          <w:lang w:val="uk-UA"/>
        </w:rPr>
        <w:t>, упаковані в картонні коробки.</w:t>
      </w:r>
    </w:p>
    <w:p w14:paraId="44912127" w14:textId="77777777" w:rsidR="00667E91" w:rsidRPr="00667E91" w:rsidRDefault="00667E91" w:rsidP="00933424">
      <w:pPr>
        <w:widowControl w:val="0"/>
        <w:ind w:firstLine="567"/>
        <w:jc w:val="both"/>
        <w:rPr>
          <w:lang w:val="uk-UA"/>
        </w:rPr>
      </w:pPr>
      <w:r>
        <w:rPr>
          <w:lang w:val="uk-UA"/>
        </w:rPr>
        <w:t>П</w:t>
      </w:r>
      <w:r w:rsidRPr="00933424">
        <w:rPr>
          <w:lang w:val="uk-UA"/>
        </w:rPr>
        <w:t>оліетиленові гвинтові флакони високої щільності з поліпропіленовим ковпачком, що закривається кришкою, яка відкручується, з захистом від дітей</w:t>
      </w:r>
      <w:r>
        <w:rPr>
          <w:lang w:val="uk-UA"/>
        </w:rPr>
        <w:t>.</w:t>
      </w:r>
    </w:p>
    <w:p w14:paraId="0EB19DB4" w14:textId="77777777" w:rsidR="00667E91" w:rsidRPr="00667E91" w:rsidRDefault="00AC5DFB" w:rsidP="00667E91">
      <w:pPr>
        <w:ind w:firstLine="567"/>
        <w:jc w:val="both"/>
        <w:rPr>
          <w:i/>
          <w:iCs/>
          <w:lang w:val="uk-UA"/>
        </w:rPr>
      </w:pPr>
      <w:r>
        <w:rPr>
          <w:i/>
          <w:iCs/>
          <w:lang w:val="uk-UA"/>
        </w:rPr>
        <w:t xml:space="preserve">Таблетки, що містять </w:t>
      </w:r>
      <w:r w:rsidR="00667E91" w:rsidRPr="00667E91">
        <w:rPr>
          <w:i/>
          <w:iCs/>
          <w:lang w:val="uk-UA"/>
        </w:rPr>
        <w:t>1,25 мг</w:t>
      </w:r>
      <w:r w:rsidR="00667E91">
        <w:rPr>
          <w:i/>
          <w:iCs/>
          <w:lang w:val="uk-UA"/>
        </w:rPr>
        <w:t xml:space="preserve"> пімобендану </w:t>
      </w:r>
    </w:p>
    <w:p w14:paraId="65F021AF" w14:textId="14E754BB" w:rsidR="0FD0CC7C" w:rsidRDefault="00667E91" w:rsidP="0050379B">
      <w:pPr>
        <w:ind w:firstLine="567"/>
        <w:jc w:val="both"/>
        <w:rPr>
          <w:lang w:val="uk-UA"/>
        </w:rPr>
      </w:pPr>
      <w:r w:rsidRPr="6791142B">
        <w:rPr>
          <w:lang w:val="uk-UA"/>
        </w:rPr>
        <w:t>Картонна коробка, що містить 3 або 8 блістерів по 12 таблеток.</w:t>
      </w:r>
    </w:p>
    <w:p w14:paraId="287FE2B4" w14:textId="77777777" w:rsidR="00667E91" w:rsidRPr="00667E91" w:rsidRDefault="00667E91" w:rsidP="6791142B">
      <w:pPr>
        <w:ind w:firstLine="567"/>
        <w:jc w:val="both"/>
        <w:rPr>
          <w:lang w:val="uk-UA"/>
        </w:rPr>
      </w:pPr>
      <w:r w:rsidRPr="6791142B">
        <w:rPr>
          <w:lang w:val="uk-UA"/>
        </w:rPr>
        <w:t>Флакон об</w:t>
      </w:r>
      <w:r w:rsidRPr="6791142B">
        <w:t>’</w:t>
      </w:r>
      <w:r w:rsidRPr="6791142B">
        <w:rPr>
          <w:lang w:val="uk-UA"/>
        </w:rPr>
        <w:t>ємом 35 мл, що містить 60 таблеток</w:t>
      </w:r>
      <w:r w:rsidR="00FE70A9" w:rsidRPr="6791142B">
        <w:rPr>
          <w:lang w:val="uk-UA"/>
        </w:rPr>
        <w:t>.</w:t>
      </w:r>
    </w:p>
    <w:p w14:paraId="4D28D7CD" w14:textId="77777777" w:rsidR="00667E91" w:rsidRPr="00667E91" w:rsidRDefault="00AC5DFB" w:rsidP="00667E91">
      <w:pPr>
        <w:ind w:firstLine="567"/>
        <w:jc w:val="both"/>
        <w:rPr>
          <w:i/>
          <w:iCs/>
          <w:lang w:val="uk-UA"/>
        </w:rPr>
      </w:pPr>
      <w:r>
        <w:rPr>
          <w:i/>
          <w:iCs/>
          <w:lang w:val="uk-UA"/>
        </w:rPr>
        <w:t xml:space="preserve">Таблетки, що містять </w:t>
      </w:r>
      <w:r w:rsidR="00667E91" w:rsidRPr="00667E91">
        <w:rPr>
          <w:i/>
          <w:iCs/>
          <w:lang w:val="uk-UA"/>
        </w:rPr>
        <w:t>5 мг</w:t>
      </w:r>
      <w:r w:rsidR="00667E91">
        <w:rPr>
          <w:lang w:val="uk-UA"/>
        </w:rPr>
        <w:t xml:space="preserve"> </w:t>
      </w:r>
      <w:r w:rsidR="00667E91">
        <w:rPr>
          <w:i/>
          <w:iCs/>
          <w:lang w:val="uk-UA"/>
        </w:rPr>
        <w:t>пімобендану</w:t>
      </w:r>
    </w:p>
    <w:p w14:paraId="32EBA718" w14:textId="77777777" w:rsidR="00667E91" w:rsidRPr="00667E91" w:rsidRDefault="00667E91" w:rsidP="00667E91">
      <w:pPr>
        <w:widowControl w:val="0"/>
        <w:ind w:firstLine="567"/>
        <w:jc w:val="both"/>
      </w:pPr>
      <w:r w:rsidRPr="00933424">
        <w:rPr>
          <w:lang w:val="uk-UA"/>
        </w:rPr>
        <w:t>Картонна коробка</w:t>
      </w:r>
      <w:r>
        <w:rPr>
          <w:lang w:val="uk-UA"/>
        </w:rPr>
        <w:t xml:space="preserve">, що містить </w:t>
      </w:r>
      <w:r w:rsidRPr="00933424">
        <w:rPr>
          <w:lang w:val="uk-UA"/>
        </w:rPr>
        <w:t>5 або 16 блістер</w:t>
      </w:r>
      <w:r>
        <w:rPr>
          <w:lang w:val="uk-UA"/>
        </w:rPr>
        <w:t>ів</w:t>
      </w:r>
      <w:r w:rsidRPr="00933424">
        <w:rPr>
          <w:lang w:val="uk-UA"/>
        </w:rPr>
        <w:t xml:space="preserve"> по 6 таблеток</w:t>
      </w:r>
      <w:r w:rsidR="00FE70A9">
        <w:rPr>
          <w:lang w:val="uk-UA"/>
        </w:rPr>
        <w:t>.</w:t>
      </w:r>
    </w:p>
    <w:p w14:paraId="15761279" w14:textId="77777777" w:rsidR="00667E91" w:rsidRDefault="00667E91" w:rsidP="00667E91">
      <w:pPr>
        <w:widowControl w:val="0"/>
        <w:ind w:firstLine="567"/>
        <w:jc w:val="both"/>
        <w:rPr>
          <w:lang w:val="uk-UA"/>
        </w:rPr>
      </w:pPr>
      <w:r>
        <w:rPr>
          <w:lang w:val="uk-UA"/>
        </w:rPr>
        <w:t xml:space="preserve">Флакон </w:t>
      </w:r>
      <w:r w:rsidRPr="00933424">
        <w:rPr>
          <w:lang w:val="uk-UA"/>
        </w:rPr>
        <w:t>об'ємом 150 мл</w:t>
      </w:r>
      <w:r>
        <w:rPr>
          <w:lang w:val="uk-UA"/>
        </w:rPr>
        <w:t xml:space="preserve">, що </w:t>
      </w:r>
      <w:r w:rsidRPr="00933424">
        <w:rPr>
          <w:lang w:val="uk-UA"/>
        </w:rPr>
        <w:t>містить 60 таблеток</w:t>
      </w:r>
      <w:r w:rsidR="00FE70A9">
        <w:rPr>
          <w:lang w:val="uk-UA"/>
        </w:rPr>
        <w:t>.</w:t>
      </w:r>
    </w:p>
    <w:p w14:paraId="6DAF5BC2" w14:textId="77777777" w:rsidR="00667E91" w:rsidRPr="00415768" w:rsidRDefault="00AC5DFB" w:rsidP="00667E91">
      <w:pPr>
        <w:ind w:firstLine="567"/>
        <w:jc w:val="both"/>
        <w:rPr>
          <w:i/>
        </w:rPr>
      </w:pPr>
      <w:r>
        <w:rPr>
          <w:i/>
          <w:iCs/>
          <w:lang w:val="uk-UA"/>
        </w:rPr>
        <w:t xml:space="preserve">Таблетки, що містять </w:t>
      </w:r>
      <w:r w:rsidR="00667E91" w:rsidRPr="00667E91">
        <w:rPr>
          <w:i/>
          <w:iCs/>
          <w:lang w:val="uk-UA"/>
        </w:rPr>
        <w:t>10 мг</w:t>
      </w:r>
      <w:r w:rsidR="00667E91">
        <w:rPr>
          <w:lang w:val="uk-UA"/>
        </w:rPr>
        <w:t xml:space="preserve"> </w:t>
      </w:r>
      <w:r w:rsidR="00667E91">
        <w:rPr>
          <w:i/>
          <w:iCs/>
          <w:lang w:val="uk-UA"/>
        </w:rPr>
        <w:t>пімобендану</w:t>
      </w:r>
    </w:p>
    <w:p w14:paraId="7B601D54" w14:textId="77777777" w:rsidR="00667E91" w:rsidRPr="00667E91" w:rsidRDefault="00667E91" w:rsidP="00667E91">
      <w:pPr>
        <w:ind w:firstLine="567"/>
        <w:jc w:val="both"/>
        <w:rPr>
          <w:lang w:val="uk-UA"/>
        </w:rPr>
      </w:pPr>
      <w:r w:rsidRPr="00667E91">
        <w:rPr>
          <w:lang w:val="uk-UA"/>
        </w:rPr>
        <w:t>Картонна коробка</w:t>
      </w:r>
      <w:r>
        <w:rPr>
          <w:lang w:val="uk-UA"/>
        </w:rPr>
        <w:t xml:space="preserve">, що містить </w:t>
      </w:r>
      <w:r w:rsidRPr="00667E91">
        <w:rPr>
          <w:lang w:val="uk-UA"/>
        </w:rPr>
        <w:t>8 або 24 блістер</w:t>
      </w:r>
      <w:r>
        <w:rPr>
          <w:lang w:val="uk-UA"/>
        </w:rPr>
        <w:t>ів</w:t>
      </w:r>
      <w:r w:rsidRPr="00667E91">
        <w:rPr>
          <w:lang w:val="uk-UA"/>
        </w:rPr>
        <w:t xml:space="preserve"> по 4 таблетки</w:t>
      </w:r>
      <w:r w:rsidR="00FE70A9">
        <w:rPr>
          <w:lang w:val="uk-UA"/>
        </w:rPr>
        <w:t>.</w:t>
      </w:r>
    </w:p>
    <w:p w14:paraId="31522976" w14:textId="77777777" w:rsidR="00667E91" w:rsidRPr="00667E91" w:rsidRDefault="00667E91" w:rsidP="00667E91">
      <w:pPr>
        <w:ind w:firstLine="567"/>
        <w:jc w:val="both"/>
        <w:rPr>
          <w:lang w:val="uk-UA"/>
        </w:rPr>
      </w:pPr>
      <w:r>
        <w:rPr>
          <w:lang w:val="uk-UA"/>
        </w:rPr>
        <w:t xml:space="preserve">Флакон </w:t>
      </w:r>
      <w:r w:rsidRPr="00667E91">
        <w:rPr>
          <w:lang w:val="uk-UA"/>
        </w:rPr>
        <w:t>об'ємом 150 мл</w:t>
      </w:r>
      <w:r>
        <w:rPr>
          <w:lang w:val="uk-UA"/>
        </w:rPr>
        <w:t>, що</w:t>
      </w:r>
      <w:r w:rsidRPr="00667E91">
        <w:rPr>
          <w:lang w:val="uk-UA"/>
        </w:rPr>
        <w:t xml:space="preserve"> містить 30 таблеток</w:t>
      </w:r>
      <w:r>
        <w:rPr>
          <w:lang w:val="uk-UA"/>
        </w:rPr>
        <w:t>.</w:t>
      </w:r>
    </w:p>
    <w:bookmarkEnd w:id="15"/>
    <w:p w14:paraId="380D56C7" w14:textId="77777777" w:rsidR="00945451" w:rsidRPr="00933424" w:rsidRDefault="00945451" w:rsidP="00933424">
      <w:pPr>
        <w:widowControl w:val="0"/>
        <w:ind w:firstLine="567"/>
        <w:jc w:val="both"/>
        <w:rPr>
          <w:b/>
          <w:lang w:val="uk-UA"/>
        </w:rPr>
      </w:pPr>
      <w:r w:rsidRPr="00933424">
        <w:rPr>
          <w:b/>
          <w:lang w:val="uk-UA"/>
        </w:rPr>
        <w:t>6.5 Особливі заходи безпеки при поводженні з препаратом або із його залишками</w:t>
      </w:r>
    </w:p>
    <w:p w14:paraId="72C6F1FF" w14:textId="77777777" w:rsidR="003F0640" w:rsidRPr="00481449" w:rsidRDefault="003F0640" w:rsidP="003F0640">
      <w:pPr>
        <w:widowControl w:val="0"/>
        <w:ind w:firstLine="567"/>
        <w:jc w:val="both"/>
        <w:rPr>
          <w:lang w:val="uk-UA"/>
        </w:rPr>
      </w:pPr>
      <w:r w:rsidRPr="00481449">
        <w:rPr>
          <w:lang w:val="uk-UA"/>
        </w:rPr>
        <w:t>Препарат не слід утилізувати разом зі стічними водами або побутовими відходами.</w:t>
      </w:r>
    </w:p>
    <w:p w14:paraId="553EBE71" w14:textId="77777777" w:rsidR="003F0640" w:rsidRPr="00481449" w:rsidRDefault="003F0640" w:rsidP="00BE1C74">
      <w:pPr>
        <w:widowControl w:val="0"/>
        <w:ind w:firstLine="567"/>
        <w:jc w:val="both"/>
        <w:rPr>
          <w:lang w:val="uk-UA"/>
        </w:rPr>
      </w:pPr>
      <w:r w:rsidRPr="00481449">
        <w:rPr>
          <w:lang w:val="uk-UA"/>
        </w:rPr>
        <w:t>Ветеринарний препарат не повинен потрапляти у водойми, оскільки це може бути небезпечним для риб та інших водних організмів.</w:t>
      </w:r>
    </w:p>
    <w:p w14:paraId="631CEA29" w14:textId="77777777" w:rsidR="003F0640" w:rsidRPr="00481449" w:rsidRDefault="003F0640" w:rsidP="003F0640">
      <w:pPr>
        <w:widowControl w:val="0"/>
        <w:ind w:firstLine="567"/>
        <w:jc w:val="both"/>
        <w:rPr>
          <w:spacing w:val="-1"/>
          <w:lang w:val="uk-UA"/>
        </w:rPr>
      </w:pPr>
      <w:r w:rsidRPr="00481449">
        <w:rPr>
          <w:spacing w:val="-1"/>
          <w:lang w:val="uk-UA"/>
        </w:rPr>
        <w:t>Упаковку, залишки препарату потрібно утилізувати згідно з чинним законодавством.</w:t>
      </w:r>
    </w:p>
    <w:p w14:paraId="6750236C" w14:textId="77777777" w:rsidR="00945451" w:rsidRPr="00F425BB" w:rsidRDefault="00945451" w:rsidP="00933424">
      <w:pPr>
        <w:widowControl w:val="0"/>
        <w:ind w:firstLine="567"/>
        <w:jc w:val="both"/>
        <w:rPr>
          <w:b/>
          <w:lang w:val="uk-UA"/>
        </w:rPr>
      </w:pPr>
      <w:r w:rsidRPr="00F425BB">
        <w:rPr>
          <w:b/>
          <w:lang w:val="uk-UA"/>
        </w:rPr>
        <w:t>7. Назва та місцезнаходження власника реєстраційного посвідчення</w:t>
      </w:r>
    </w:p>
    <w:tbl>
      <w:tblPr>
        <w:tblW w:w="10600" w:type="dxa"/>
        <w:tblLayout w:type="fixed"/>
        <w:tblCellMar>
          <w:left w:w="0" w:type="dxa"/>
          <w:right w:w="0" w:type="dxa"/>
        </w:tblCellMar>
        <w:tblLook w:val="0000" w:firstRow="0" w:lastRow="0" w:firstColumn="0" w:lastColumn="0" w:noHBand="0" w:noVBand="0"/>
      </w:tblPr>
      <w:tblGrid>
        <w:gridCol w:w="5387"/>
        <w:gridCol w:w="5213"/>
      </w:tblGrid>
      <w:tr w:rsidR="00BE1C74" w:rsidRPr="00ED052E" w14:paraId="6FB1B4BB" w14:textId="77777777" w:rsidTr="00BE1C74">
        <w:trPr>
          <w:trHeight w:val="948"/>
        </w:trPr>
        <w:tc>
          <w:tcPr>
            <w:tcW w:w="5387" w:type="dxa"/>
          </w:tcPr>
          <w:p w14:paraId="086BE218" w14:textId="77777777" w:rsidR="00BE1C74" w:rsidRPr="00481449" w:rsidRDefault="00BE1C74" w:rsidP="003172D8">
            <w:pPr>
              <w:snapToGrid w:val="0"/>
              <w:ind w:firstLine="567"/>
              <w:jc w:val="both"/>
              <w:rPr>
                <w:lang w:val="uk-UA"/>
              </w:rPr>
            </w:pPr>
            <w:r w:rsidRPr="00481449">
              <w:rPr>
                <w:lang w:val="uk-UA"/>
              </w:rPr>
              <w:t>Сева Санте Анімаль</w:t>
            </w:r>
          </w:p>
          <w:p w14:paraId="2DCD6FDD" w14:textId="77777777" w:rsidR="00BE1C74" w:rsidRPr="00481449" w:rsidRDefault="00BE1C74" w:rsidP="003172D8">
            <w:pPr>
              <w:ind w:left="567"/>
              <w:rPr>
                <w:lang w:val="uk-UA"/>
              </w:rPr>
            </w:pPr>
            <w:r w:rsidRPr="00481449">
              <w:rPr>
                <w:lang w:val="uk-UA"/>
              </w:rPr>
              <w:t>10 авеню де ла балластіере, 33500 Лібурн, Франція</w:t>
            </w:r>
          </w:p>
        </w:tc>
        <w:tc>
          <w:tcPr>
            <w:tcW w:w="5213" w:type="dxa"/>
          </w:tcPr>
          <w:p w14:paraId="3D492D27" w14:textId="77777777" w:rsidR="00BE1C74" w:rsidRPr="00481449" w:rsidRDefault="00BE1C74" w:rsidP="003172D8">
            <w:pPr>
              <w:snapToGrid w:val="0"/>
              <w:ind w:firstLine="567"/>
              <w:rPr>
                <w:bCs/>
                <w:lang w:val="uk-UA"/>
              </w:rPr>
            </w:pPr>
            <w:r w:rsidRPr="00481449">
              <w:rPr>
                <w:bCs/>
                <w:lang w:val="uk-UA"/>
              </w:rPr>
              <w:t>Сeva Sante Animale</w:t>
            </w:r>
          </w:p>
          <w:p w14:paraId="3B561007" w14:textId="77777777" w:rsidR="00BE1C74" w:rsidRPr="00481449" w:rsidRDefault="00BE1C74" w:rsidP="003172D8">
            <w:pPr>
              <w:pStyle w:val="a8"/>
              <w:snapToGrid w:val="0"/>
              <w:ind w:left="567"/>
              <w:rPr>
                <w:lang w:val="uk-UA"/>
              </w:rPr>
            </w:pPr>
            <w:r w:rsidRPr="00481449">
              <w:rPr>
                <w:lang w:val="uk-UA"/>
              </w:rPr>
              <w:t>10 avenue de la ballastière 33500 Libourne, France</w:t>
            </w:r>
          </w:p>
        </w:tc>
      </w:tr>
    </w:tbl>
    <w:p w14:paraId="0F6F621F" w14:textId="77777777" w:rsidR="00945451" w:rsidRPr="00F425BB" w:rsidRDefault="00945451" w:rsidP="0005227B">
      <w:pPr>
        <w:pStyle w:val="31"/>
        <w:tabs>
          <w:tab w:val="left" w:pos="2340"/>
        </w:tabs>
        <w:ind w:firstLine="567"/>
        <w:rPr>
          <w:szCs w:val="24"/>
        </w:rPr>
      </w:pPr>
      <w:r w:rsidRPr="00F425BB">
        <w:rPr>
          <w:szCs w:val="24"/>
        </w:rPr>
        <w:t>8. Назва та місцезнаходження виробник</w:t>
      </w:r>
      <w:r w:rsidR="00C81886">
        <w:rPr>
          <w:szCs w:val="24"/>
        </w:rPr>
        <w:t>ів</w:t>
      </w:r>
      <w:r w:rsidRPr="00F425BB">
        <w:rPr>
          <w:szCs w:val="24"/>
        </w:rPr>
        <w:t xml:space="preserve"> готового продукту</w:t>
      </w:r>
    </w:p>
    <w:tbl>
      <w:tblPr>
        <w:tblW w:w="0" w:type="auto"/>
        <w:tblLayout w:type="fixed"/>
        <w:tblCellMar>
          <w:left w:w="0" w:type="dxa"/>
          <w:right w:w="0" w:type="dxa"/>
        </w:tblCellMar>
        <w:tblLook w:val="0000" w:firstRow="0" w:lastRow="0" w:firstColumn="0" w:lastColumn="0" w:noHBand="0" w:noVBand="0"/>
      </w:tblPr>
      <w:tblGrid>
        <w:gridCol w:w="4960"/>
        <w:gridCol w:w="143"/>
        <w:gridCol w:w="4817"/>
      </w:tblGrid>
      <w:tr w:rsidR="00675773" w:rsidRPr="00E3632C" w14:paraId="4AC7E549" w14:textId="77777777">
        <w:tc>
          <w:tcPr>
            <w:tcW w:w="5103" w:type="dxa"/>
            <w:gridSpan w:val="2"/>
          </w:tcPr>
          <w:p w14:paraId="73546813" w14:textId="77777777" w:rsidR="00675773" w:rsidRPr="004E117C" w:rsidRDefault="00675773">
            <w:pPr>
              <w:ind w:left="567"/>
              <w:rPr>
                <w:lang w:val="uk-UA"/>
              </w:rPr>
            </w:pPr>
            <w:bookmarkStart w:id="16" w:name="_Hlk104805475"/>
            <w:bookmarkStart w:id="17" w:name="_Hlk104804356"/>
            <w:r w:rsidRPr="004E117C">
              <w:rPr>
                <w:lang w:val="uk-UA"/>
              </w:rPr>
              <w:t>Сева Санте Анімаль</w:t>
            </w:r>
          </w:p>
          <w:p w14:paraId="0829A1EF" w14:textId="77777777" w:rsidR="00675773" w:rsidRPr="004E117C" w:rsidRDefault="00675773">
            <w:pPr>
              <w:ind w:left="567"/>
              <w:rPr>
                <w:lang w:val="uk-UA"/>
              </w:rPr>
            </w:pPr>
            <w:r w:rsidRPr="004E117C">
              <w:rPr>
                <w:lang w:val="uk-UA"/>
              </w:rPr>
              <w:t>Боулевард де ла Коммунікатіон Зоне Авторутьєре, 53950 Луверне,</w:t>
            </w:r>
            <w:bookmarkStart w:id="18" w:name="_Hlk104805410"/>
            <w:r w:rsidRPr="004E117C">
              <w:rPr>
                <w:lang w:val="uk-UA"/>
              </w:rPr>
              <w:t xml:space="preserve"> </w:t>
            </w:r>
            <w:bookmarkEnd w:id="18"/>
          </w:p>
          <w:p w14:paraId="4035F935" w14:textId="77777777" w:rsidR="00675773" w:rsidRPr="004E117C" w:rsidRDefault="00675773">
            <w:pPr>
              <w:ind w:left="567"/>
              <w:rPr>
                <w:lang w:val="uk-UA"/>
              </w:rPr>
            </w:pPr>
            <w:r w:rsidRPr="004E117C">
              <w:rPr>
                <w:lang w:val="uk-UA"/>
              </w:rPr>
              <w:t>Франція</w:t>
            </w:r>
            <w:bookmarkEnd w:id="16"/>
          </w:p>
        </w:tc>
        <w:tc>
          <w:tcPr>
            <w:tcW w:w="4817" w:type="dxa"/>
          </w:tcPr>
          <w:p w14:paraId="71A6469C" w14:textId="77777777" w:rsidR="00675773" w:rsidRPr="004E117C" w:rsidRDefault="00675773" w:rsidP="007D69FD">
            <w:pPr>
              <w:snapToGrid w:val="0"/>
              <w:ind w:left="833"/>
              <w:rPr>
                <w:bCs/>
                <w:lang w:val="uk-UA"/>
              </w:rPr>
            </w:pPr>
            <w:r w:rsidRPr="004E117C">
              <w:rPr>
                <w:bCs/>
                <w:lang w:val="uk-UA"/>
              </w:rPr>
              <w:t>Ceva Sante Animale</w:t>
            </w:r>
          </w:p>
          <w:p w14:paraId="12EFBF24" w14:textId="77777777" w:rsidR="00675773" w:rsidRPr="004E117C" w:rsidRDefault="00675773" w:rsidP="007D69FD">
            <w:pPr>
              <w:pStyle w:val="a8"/>
              <w:snapToGrid w:val="0"/>
              <w:ind w:left="833"/>
              <w:rPr>
                <w:lang w:val="uk-UA"/>
              </w:rPr>
            </w:pPr>
            <w:r w:rsidRPr="004E117C">
              <w:rPr>
                <w:lang w:val="uk-UA"/>
              </w:rPr>
              <w:t>Boulevard de la Communication</w:t>
            </w:r>
          </w:p>
          <w:p w14:paraId="12849449" w14:textId="77777777" w:rsidR="00675773" w:rsidRDefault="00675773" w:rsidP="007D69FD">
            <w:pPr>
              <w:pStyle w:val="a8"/>
              <w:snapToGrid w:val="0"/>
              <w:ind w:left="833"/>
              <w:rPr>
                <w:lang w:val="uk-UA"/>
              </w:rPr>
            </w:pPr>
            <w:r w:rsidRPr="004E117C">
              <w:rPr>
                <w:lang w:val="uk-UA"/>
              </w:rPr>
              <w:t>Zone Autoroutiere, 53950 Louverne</w:t>
            </w:r>
            <w:r w:rsidRPr="004E117C">
              <w:rPr>
                <w:lang w:val="en-US"/>
              </w:rPr>
              <w:t>,</w:t>
            </w:r>
            <w:r w:rsidRPr="004E117C">
              <w:rPr>
                <w:lang w:val="uk-UA"/>
              </w:rPr>
              <w:t xml:space="preserve"> </w:t>
            </w:r>
          </w:p>
          <w:p w14:paraId="03395D96" w14:textId="77777777" w:rsidR="00675773" w:rsidRPr="00E3632C" w:rsidRDefault="00675773" w:rsidP="007D69FD">
            <w:pPr>
              <w:pStyle w:val="a8"/>
              <w:snapToGrid w:val="0"/>
              <w:ind w:left="833"/>
              <w:rPr>
                <w:lang w:val="uk-UA"/>
              </w:rPr>
            </w:pPr>
            <w:r w:rsidRPr="004E117C">
              <w:rPr>
                <w:bCs/>
                <w:lang w:val="uk-UA"/>
              </w:rPr>
              <w:t>France</w:t>
            </w:r>
          </w:p>
        </w:tc>
      </w:tr>
      <w:bookmarkEnd w:id="17"/>
      <w:tr w:rsidR="00675773" w:rsidRPr="005C263E" w14:paraId="130AAC46" w14:textId="77777777">
        <w:tblPrEx>
          <w:tblLook w:val="04A0" w:firstRow="1" w:lastRow="0" w:firstColumn="1" w:lastColumn="0" w:noHBand="0" w:noVBand="1"/>
        </w:tblPrEx>
        <w:tc>
          <w:tcPr>
            <w:tcW w:w="4960" w:type="dxa"/>
            <w:hideMark/>
          </w:tcPr>
          <w:p w14:paraId="71B3F849" w14:textId="77777777" w:rsidR="00675773" w:rsidRPr="00415768" w:rsidRDefault="00675773">
            <w:pPr>
              <w:snapToGrid w:val="0"/>
              <w:ind w:left="567"/>
            </w:pPr>
          </w:p>
          <w:p w14:paraId="20490667" w14:textId="77777777" w:rsidR="00675773" w:rsidRPr="005C263E" w:rsidRDefault="00675773">
            <w:pPr>
              <w:snapToGrid w:val="0"/>
              <w:ind w:left="567"/>
              <w:rPr>
                <w:lang w:val="uk-UA"/>
              </w:rPr>
            </w:pPr>
            <w:r w:rsidRPr="005C263E">
              <w:rPr>
                <w:lang w:val="uk-UA"/>
              </w:rPr>
              <w:t>Сева Санте Анімаль</w:t>
            </w:r>
          </w:p>
          <w:p w14:paraId="2C8756E4" w14:textId="77777777" w:rsidR="00675773" w:rsidRPr="005C263E" w:rsidRDefault="00675773">
            <w:pPr>
              <w:ind w:left="567"/>
              <w:rPr>
                <w:lang w:val="uk-UA"/>
              </w:rPr>
            </w:pPr>
            <w:r w:rsidRPr="005C263E">
              <w:rPr>
                <w:lang w:val="uk-UA"/>
              </w:rPr>
              <w:t>З.І. Тре Ле Буа</w:t>
            </w:r>
          </w:p>
          <w:p w14:paraId="5F1D2884" w14:textId="77777777" w:rsidR="00675773" w:rsidRPr="005C263E" w:rsidRDefault="00675773">
            <w:pPr>
              <w:ind w:left="567"/>
              <w:rPr>
                <w:lang w:val="uk-UA"/>
              </w:rPr>
            </w:pPr>
            <w:r w:rsidRPr="005C263E">
              <w:rPr>
                <w:lang w:val="uk-UA"/>
              </w:rPr>
              <w:t>22600 Лудеак</w:t>
            </w:r>
          </w:p>
          <w:p w14:paraId="7CA838ED" w14:textId="77777777" w:rsidR="00675773" w:rsidRPr="005C263E" w:rsidRDefault="00675773">
            <w:pPr>
              <w:ind w:left="567"/>
              <w:rPr>
                <w:lang w:val="uk-UA"/>
              </w:rPr>
            </w:pPr>
            <w:r w:rsidRPr="005C263E">
              <w:rPr>
                <w:lang w:val="uk-UA"/>
              </w:rPr>
              <w:t>Франція</w:t>
            </w:r>
          </w:p>
        </w:tc>
        <w:tc>
          <w:tcPr>
            <w:tcW w:w="4960" w:type="dxa"/>
            <w:gridSpan w:val="2"/>
            <w:hideMark/>
          </w:tcPr>
          <w:p w14:paraId="5C9CC84B" w14:textId="77777777" w:rsidR="00675773" w:rsidRDefault="00675773" w:rsidP="007D69FD">
            <w:pPr>
              <w:suppressAutoHyphens w:val="0"/>
              <w:snapToGrid w:val="0"/>
              <w:ind w:left="984"/>
              <w:rPr>
                <w:bCs/>
                <w:lang w:val="fr-FR" w:eastAsia="ru-RU"/>
              </w:rPr>
            </w:pPr>
          </w:p>
          <w:p w14:paraId="05BCCA2E" w14:textId="77777777" w:rsidR="00675773" w:rsidRPr="005C263E" w:rsidRDefault="00675773" w:rsidP="007D69FD">
            <w:pPr>
              <w:suppressAutoHyphens w:val="0"/>
              <w:snapToGrid w:val="0"/>
              <w:ind w:left="984"/>
              <w:rPr>
                <w:bCs/>
                <w:lang w:val="uk-UA" w:eastAsia="ru-RU"/>
              </w:rPr>
            </w:pPr>
            <w:r w:rsidRPr="005C263E">
              <w:rPr>
                <w:bCs/>
                <w:lang w:val="fr-FR" w:eastAsia="ru-RU"/>
              </w:rPr>
              <w:t>C</w:t>
            </w:r>
            <w:r w:rsidRPr="005C263E">
              <w:rPr>
                <w:bCs/>
                <w:lang w:val="uk-UA" w:eastAsia="ru-RU"/>
              </w:rPr>
              <w:t xml:space="preserve">eva </w:t>
            </w:r>
            <w:r w:rsidRPr="005C263E">
              <w:rPr>
                <w:bCs/>
                <w:lang w:val="fr-FR" w:eastAsia="ru-RU"/>
              </w:rPr>
              <w:t>S</w:t>
            </w:r>
            <w:r w:rsidRPr="005C263E">
              <w:rPr>
                <w:bCs/>
                <w:lang w:val="uk-UA" w:eastAsia="ru-RU"/>
              </w:rPr>
              <w:t xml:space="preserve">ante </w:t>
            </w:r>
            <w:r w:rsidRPr="005C263E">
              <w:rPr>
                <w:bCs/>
                <w:lang w:val="fr-FR" w:eastAsia="ru-RU"/>
              </w:rPr>
              <w:t>A</w:t>
            </w:r>
            <w:r w:rsidRPr="005C263E">
              <w:rPr>
                <w:bCs/>
                <w:lang w:val="uk-UA" w:eastAsia="ru-RU"/>
              </w:rPr>
              <w:t>nimale</w:t>
            </w:r>
          </w:p>
          <w:p w14:paraId="36A4ED86" w14:textId="77777777" w:rsidR="00675773" w:rsidRPr="005C263E" w:rsidRDefault="00675773" w:rsidP="007D69FD">
            <w:pPr>
              <w:suppressLineNumbers/>
              <w:snapToGrid w:val="0"/>
              <w:ind w:left="984"/>
              <w:rPr>
                <w:lang w:val="fr-FR"/>
              </w:rPr>
            </w:pPr>
            <w:r w:rsidRPr="005C263E">
              <w:rPr>
                <w:lang w:val="fr-FR"/>
              </w:rPr>
              <w:t>Z.I. Tres le Bois</w:t>
            </w:r>
            <w:r w:rsidRPr="005C263E">
              <w:rPr>
                <w:lang w:val="uk-UA"/>
              </w:rPr>
              <w:t xml:space="preserve"> </w:t>
            </w:r>
          </w:p>
          <w:p w14:paraId="70390AF6" w14:textId="77777777" w:rsidR="00675773" w:rsidRPr="005C263E" w:rsidRDefault="00675773" w:rsidP="007D69FD">
            <w:pPr>
              <w:suppressLineNumbers/>
              <w:snapToGrid w:val="0"/>
              <w:ind w:left="984"/>
              <w:rPr>
                <w:lang w:val="fr-FR"/>
              </w:rPr>
            </w:pPr>
            <w:r w:rsidRPr="005C263E">
              <w:rPr>
                <w:lang w:val="uk-UA"/>
              </w:rPr>
              <w:t>2260</w:t>
            </w:r>
            <w:r w:rsidRPr="005C263E">
              <w:rPr>
                <w:lang w:val="fr-FR"/>
              </w:rPr>
              <w:t>0 Loudeac</w:t>
            </w:r>
          </w:p>
          <w:p w14:paraId="5766850A" w14:textId="77777777" w:rsidR="00675773" w:rsidRPr="005C263E" w:rsidRDefault="00675773" w:rsidP="007D69FD">
            <w:pPr>
              <w:suppressLineNumbers/>
              <w:snapToGrid w:val="0"/>
              <w:ind w:left="984"/>
              <w:rPr>
                <w:lang w:val="uk-UA"/>
              </w:rPr>
            </w:pPr>
            <w:r w:rsidRPr="005C263E">
              <w:rPr>
                <w:bCs/>
                <w:lang w:val="uk-UA"/>
              </w:rPr>
              <w:t>France</w:t>
            </w:r>
          </w:p>
        </w:tc>
      </w:tr>
    </w:tbl>
    <w:p w14:paraId="58E8C820" w14:textId="77777777" w:rsidR="00945451" w:rsidRPr="00F425BB" w:rsidRDefault="00945451" w:rsidP="003B7F70">
      <w:pPr>
        <w:widowControl w:val="0"/>
        <w:tabs>
          <w:tab w:val="left" w:pos="2340"/>
        </w:tabs>
        <w:ind w:firstLine="567"/>
        <w:jc w:val="both"/>
        <w:rPr>
          <w:b/>
          <w:lang w:val="uk-UA"/>
        </w:rPr>
      </w:pPr>
      <w:r w:rsidRPr="00F425BB">
        <w:rPr>
          <w:b/>
          <w:lang w:val="uk-UA"/>
        </w:rPr>
        <w:t>9. Додаткова інформація</w:t>
      </w:r>
    </w:p>
    <w:p w14:paraId="755255A1" w14:textId="77777777" w:rsidR="00795DD3" w:rsidRPr="0099302A" w:rsidRDefault="00795DD3" w:rsidP="003B7F70">
      <w:pPr>
        <w:widowControl w:val="0"/>
        <w:tabs>
          <w:tab w:val="left" w:pos="2340"/>
        </w:tabs>
        <w:ind w:firstLine="567"/>
        <w:jc w:val="both"/>
        <w:rPr>
          <w:lang w:val="uk-UA"/>
        </w:rPr>
      </w:pPr>
      <w:bookmarkStart w:id="19" w:name="_Hlk173861942"/>
      <w:r w:rsidRPr="00F425BB">
        <w:rPr>
          <w:lang w:val="uk-UA"/>
        </w:rPr>
        <w:t>Рекомендовано відпуск препарату за рецептом лікаря ветеринарної медицини.</w:t>
      </w:r>
      <w:bookmarkEnd w:id="19"/>
    </w:p>
    <w:sectPr w:rsidR="00795DD3" w:rsidRPr="0099302A" w:rsidSect="00BE1C74">
      <w:footerReference w:type="default" r:id="rId9"/>
      <w:footerReference w:type="first" r:id="rId10"/>
      <w:footnotePr>
        <w:pos w:val="beneathText"/>
      </w:footnotePr>
      <w:pgSz w:w="11905" w:h="16837"/>
      <w:pgMar w:top="567" w:right="454" w:bottom="45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F3204" w14:textId="77777777" w:rsidR="001714A7" w:rsidRDefault="001714A7">
      <w:r>
        <w:separator/>
      </w:r>
    </w:p>
  </w:endnote>
  <w:endnote w:type="continuationSeparator" w:id="0">
    <w:p w14:paraId="3F10109F" w14:textId="77777777" w:rsidR="001714A7" w:rsidRDefault="001714A7">
      <w:r>
        <w:continuationSeparator/>
      </w:r>
    </w:p>
  </w:endnote>
  <w:endnote w:type="continuationNotice" w:id="1">
    <w:p w14:paraId="35BCEF35" w14:textId="77777777" w:rsidR="001714A7" w:rsidRDefault="00171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EUAlbertina">
    <w:altName w:val="Calibri"/>
    <w:panose1 w:val="00000000000000000000"/>
    <w:charset w:val="00"/>
    <w:family w:val="auto"/>
    <w:notTrueType/>
    <w:pitch w:val="default"/>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9054" w14:textId="6CDAAF0E" w:rsidR="003A4A1E" w:rsidRDefault="00D2616E">
    <w:pPr>
      <w:pStyle w:val="a9"/>
      <w:ind w:right="360" w:firstLine="360"/>
    </w:pPr>
    <w:r>
      <w:rPr>
        <w:noProof/>
        <w:lang w:val="uk-UA" w:eastAsia="uk-UA"/>
      </w:rPr>
      <mc:AlternateContent>
        <mc:Choice Requires="wps">
          <w:drawing>
            <wp:anchor distT="0" distB="0" distL="0" distR="0" simplePos="0" relativeHeight="251658240" behindDoc="0" locked="0" layoutInCell="1" allowOverlap="1" wp14:anchorId="3DC9629D" wp14:editId="37EBD1C1">
              <wp:simplePos x="0" y="0"/>
              <wp:positionH relativeFrom="margin">
                <wp:align>center</wp:align>
              </wp:positionH>
              <wp:positionV relativeFrom="paragraph">
                <wp:posOffset>635</wp:posOffset>
              </wp:positionV>
              <wp:extent cx="76200" cy="174625"/>
              <wp:effectExtent l="8255" t="635" r="1270" b="5715"/>
              <wp:wrapSquare wrapText="largest"/>
              <wp:docPr id="6060221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8EF7C" w14:textId="77777777" w:rsidR="003A4A1E" w:rsidRDefault="003A4A1E">
                          <w:pPr>
                            <w:pStyle w:val="a9"/>
                          </w:pPr>
                          <w:r>
                            <w:rPr>
                              <w:rStyle w:val="a3"/>
                            </w:rPr>
                            <w:fldChar w:fldCharType="begin"/>
                          </w:r>
                          <w:r>
                            <w:rPr>
                              <w:rStyle w:val="a3"/>
                            </w:rPr>
                            <w:instrText xml:space="preserve"> PAGE </w:instrText>
                          </w:r>
                          <w:r>
                            <w:rPr>
                              <w:rStyle w:val="a3"/>
                            </w:rPr>
                            <w:fldChar w:fldCharType="separate"/>
                          </w:r>
                          <w:r w:rsidR="00241CB4">
                            <w:rPr>
                              <w:rStyle w:val="a3"/>
                              <w:noProof/>
                            </w:rPr>
                            <w:t>2</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5pt;width:6pt;height:13.7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" stroked="f">
              <v:fill opacity="0"/>
              <v:textbox inset="0,0,0,0">
                <w:txbxContent>
                  <w:p w14:paraId="71D8EF7C" w14:textId="77777777" w:rsidR="003A4A1E" w:rsidRDefault="003A4A1E">
                    <w:pPr>
                      <w:pStyle w:val="a9"/>
                    </w:pPr>
                    <w:r>
                      <w:rPr>
                        <w:rStyle w:val="a3"/>
                      </w:rPr>
                      <w:fldChar w:fldCharType="begin"/>
                    </w:r>
                    <w:r>
                      <w:rPr>
                        <w:rStyle w:val="a3"/>
                      </w:rPr>
                      <w:instrText xml:space="preserve"> PAGE </w:instrText>
                    </w:r>
                    <w:r>
                      <w:rPr>
                        <w:rStyle w:val="a3"/>
                      </w:rPr>
                      <w:fldChar w:fldCharType="separate"/>
                    </w:r>
                    <w:r w:rsidR="00241CB4">
                      <w:rPr>
                        <w:rStyle w:val="a3"/>
                        <w:noProof/>
                      </w:rPr>
                      <w:t>2</w:t>
                    </w:r>
                    <w:r>
                      <w:rPr>
                        <w:rStyle w:val="a3"/>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9293D" w14:textId="77777777" w:rsidR="003A4A1E" w:rsidRDefault="003A4A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8EAC3" w14:textId="77777777" w:rsidR="001714A7" w:rsidRDefault="001714A7">
      <w:r>
        <w:separator/>
      </w:r>
    </w:p>
  </w:footnote>
  <w:footnote w:type="continuationSeparator" w:id="0">
    <w:p w14:paraId="1A72198E" w14:textId="77777777" w:rsidR="001714A7" w:rsidRDefault="001714A7">
      <w:r>
        <w:continuationSeparator/>
      </w:r>
    </w:p>
  </w:footnote>
  <w:footnote w:type="continuationNotice" w:id="1">
    <w:p w14:paraId="29ED5964" w14:textId="77777777" w:rsidR="001714A7" w:rsidRDefault="001714A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46216DA"/>
    <w:multiLevelType w:val="hybridMultilevel"/>
    <w:tmpl w:val="C46E571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53D02396"/>
    <w:multiLevelType w:val="hybridMultilevel"/>
    <w:tmpl w:val="D5582198"/>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311"/>
    <w:rsid w:val="000225DB"/>
    <w:rsid w:val="00036328"/>
    <w:rsid w:val="0005227B"/>
    <w:rsid w:val="00052542"/>
    <w:rsid w:val="00052C45"/>
    <w:rsid w:val="000534A3"/>
    <w:rsid w:val="00065A0E"/>
    <w:rsid w:val="00073D4B"/>
    <w:rsid w:val="00076E56"/>
    <w:rsid w:val="00090AB8"/>
    <w:rsid w:val="000927D0"/>
    <w:rsid w:val="00096DE7"/>
    <w:rsid w:val="000B0AA5"/>
    <w:rsid w:val="000B4EBE"/>
    <w:rsid w:val="000C313D"/>
    <w:rsid w:val="000C3F6C"/>
    <w:rsid w:val="000C5E16"/>
    <w:rsid w:val="000C67BE"/>
    <w:rsid w:val="000D03B7"/>
    <w:rsid w:val="000D6A45"/>
    <w:rsid w:val="000E0E62"/>
    <w:rsid w:val="001050C0"/>
    <w:rsid w:val="00106574"/>
    <w:rsid w:val="001144D6"/>
    <w:rsid w:val="00136D07"/>
    <w:rsid w:val="0014131B"/>
    <w:rsid w:val="00164AF6"/>
    <w:rsid w:val="001714A7"/>
    <w:rsid w:val="00191CC9"/>
    <w:rsid w:val="001A69E4"/>
    <w:rsid w:val="001B2B13"/>
    <w:rsid w:val="001C667D"/>
    <w:rsid w:val="001E4742"/>
    <w:rsid w:val="001F479C"/>
    <w:rsid w:val="0020123C"/>
    <w:rsid w:val="00225946"/>
    <w:rsid w:val="002342D5"/>
    <w:rsid w:val="00241CB4"/>
    <w:rsid w:val="00254A6E"/>
    <w:rsid w:val="002606D4"/>
    <w:rsid w:val="0027430E"/>
    <w:rsid w:val="00284859"/>
    <w:rsid w:val="00294C16"/>
    <w:rsid w:val="002D6BFF"/>
    <w:rsid w:val="002E6A26"/>
    <w:rsid w:val="002F76D0"/>
    <w:rsid w:val="003120A8"/>
    <w:rsid w:val="00314894"/>
    <w:rsid w:val="003172D8"/>
    <w:rsid w:val="00333820"/>
    <w:rsid w:val="00347D52"/>
    <w:rsid w:val="003503AA"/>
    <w:rsid w:val="00350760"/>
    <w:rsid w:val="003610E9"/>
    <w:rsid w:val="003742FF"/>
    <w:rsid w:val="00392D18"/>
    <w:rsid w:val="003A4A1E"/>
    <w:rsid w:val="003B7F70"/>
    <w:rsid w:val="003C0A6B"/>
    <w:rsid w:val="003E63D4"/>
    <w:rsid w:val="003F0640"/>
    <w:rsid w:val="003F3FBD"/>
    <w:rsid w:val="00415768"/>
    <w:rsid w:val="00421E5C"/>
    <w:rsid w:val="00426B8A"/>
    <w:rsid w:val="0045056A"/>
    <w:rsid w:val="004579C4"/>
    <w:rsid w:val="00460F5B"/>
    <w:rsid w:val="004623F1"/>
    <w:rsid w:val="00492193"/>
    <w:rsid w:val="0049282B"/>
    <w:rsid w:val="004B4D20"/>
    <w:rsid w:val="004C1663"/>
    <w:rsid w:val="004C49F4"/>
    <w:rsid w:val="004E7E37"/>
    <w:rsid w:val="004F2164"/>
    <w:rsid w:val="004F2A1F"/>
    <w:rsid w:val="004F36A0"/>
    <w:rsid w:val="004F38FA"/>
    <w:rsid w:val="0050379B"/>
    <w:rsid w:val="0050700C"/>
    <w:rsid w:val="00512E37"/>
    <w:rsid w:val="005176EF"/>
    <w:rsid w:val="005229E1"/>
    <w:rsid w:val="00533D59"/>
    <w:rsid w:val="00541086"/>
    <w:rsid w:val="00542109"/>
    <w:rsid w:val="0054487F"/>
    <w:rsid w:val="005812F0"/>
    <w:rsid w:val="005822EC"/>
    <w:rsid w:val="005C18E2"/>
    <w:rsid w:val="00631AE3"/>
    <w:rsid w:val="00640C9B"/>
    <w:rsid w:val="00645C2D"/>
    <w:rsid w:val="00667E91"/>
    <w:rsid w:val="00675773"/>
    <w:rsid w:val="00675DAB"/>
    <w:rsid w:val="006844EA"/>
    <w:rsid w:val="006D794F"/>
    <w:rsid w:val="006E465F"/>
    <w:rsid w:val="006F5044"/>
    <w:rsid w:val="0070180B"/>
    <w:rsid w:val="0071127E"/>
    <w:rsid w:val="007227D3"/>
    <w:rsid w:val="00736FC5"/>
    <w:rsid w:val="007410E5"/>
    <w:rsid w:val="00760D18"/>
    <w:rsid w:val="00771E02"/>
    <w:rsid w:val="00774354"/>
    <w:rsid w:val="00792BCC"/>
    <w:rsid w:val="00795DD3"/>
    <w:rsid w:val="007A30C6"/>
    <w:rsid w:val="007A6735"/>
    <w:rsid w:val="007B2214"/>
    <w:rsid w:val="007B3DCA"/>
    <w:rsid w:val="007C1032"/>
    <w:rsid w:val="007C2A1F"/>
    <w:rsid w:val="007D0B0F"/>
    <w:rsid w:val="007D1657"/>
    <w:rsid w:val="007D69FD"/>
    <w:rsid w:val="00810728"/>
    <w:rsid w:val="00826BAE"/>
    <w:rsid w:val="00827E30"/>
    <w:rsid w:val="00851CEA"/>
    <w:rsid w:val="00852F64"/>
    <w:rsid w:val="00867A8C"/>
    <w:rsid w:val="00870C65"/>
    <w:rsid w:val="008922E0"/>
    <w:rsid w:val="00895090"/>
    <w:rsid w:val="008D22DE"/>
    <w:rsid w:val="008F4E15"/>
    <w:rsid w:val="00902B7E"/>
    <w:rsid w:val="00903E66"/>
    <w:rsid w:val="009042D1"/>
    <w:rsid w:val="00920BD5"/>
    <w:rsid w:val="0092338F"/>
    <w:rsid w:val="00932504"/>
    <w:rsid w:val="00933424"/>
    <w:rsid w:val="00935AF5"/>
    <w:rsid w:val="00945451"/>
    <w:rsid w:val="00945593"/>
    <w:rsid w:val="009713AC"/>
    <w:rsid w:val="00987841"/>
    <w:rsid w:val="0099302A"/>
    <w:rsid w:val="00995808"/>
    <w:rsid w:val="009A549D"/>
    <w:rsid w:val="009A7AF2"/>
    <w:rsid w:val="009C0113"/>
    <w:rsid w:val="009D0F26"/>
    <w:rsid w:val="009D61C1"/>
    <w:rsid w:val="009F1ABE"/>
    <w:rsid w:val="009F2E3F"/>
    <w:rsid w:val="009F7962"/>
    <w:rsid w:val="00A04D4A"/>
    <w:rsid w:val="00A346FC"/>
    <w:rsid w:val="00A44689"/>
    <w:rsid w:val="00A64C4C"/>
    <w:rsid w:val="00A66B5A"/>
    <w:rsid w:val="00A91792"/>
    <w:rsid w:val="00A917AB"/>
    <w:rsid w:val="00A97B95"/>
    <w:rsid w:val="00AA5AFD"/>
    <w:rsid w:val="00AC5DFB"/>
    <w:rsid w:val="00AD6C89"/>
    <w:rsid w:val="00B27DD4"/>
    <w:rsid w:val="00B3340C"/>
    <w:rsid w:val="00B36C8B"/>
    <w:rsid w:val="00B52DDF"/>
    <w:rsid w:val="00B552AF"/>
    <w:rsid w:val="00B60FEB"/>
    <w:rsid w:val="00B70823"/>
    <w:rsid w:val="00B849F1"/>
    <w:rsid w:val="00BB4225"/>
    <w:rsid w:val="00BE1C74"/>
    <w:rsid w:val="00BF6C79"/>
    <w:rsid w:val="00C00A07"/>
    <w:rsid w:val="00C02727"/>
    <w:rsid w:val="00C42945"/>
    <w:rsid w:val="00C578A3"/>
    <w:rsid w:val="00C64A48"/>
    <w:rsid w:val="00C77EC4"/>
    <w:rsid w:val="00C81886"/>
    <w:rsid w:val="00CB6631"/>
    <w:rsid w:val="00CC2D34"/>
    <w:rsid w:val="00CD1252"/>
    <w:rsid w:val="00CE0B3B"/>
    <w:rsid w:val="00CE1C47"/>
    <w:rsid w:val="00CF2A76"/>
    <w:rsid w:val="00D06A94"/>
    <w:rsid w:val="00D139F0"/>
    <w:rsid w:val="00D2616E"/>
    <w:rsid w:val="00D3421C"/>
    <w:rsid w:val="00D578F1"/>
    <w:rsid w:val="00D716A4"/>
    <w:rsid w:val="00D7313E"/>
    <w:rsid w:val="00D73B33"/>
    <w:rsid w:val="00D767AE"/>
    <w:rsid w:val="00D81311"/>
    <w:rsid w:val="00D8317E"/>
    <w:rsid w:val="00D97C10"/>
    <w:rsid w:val="00DA104B"/>
    <w:rsid w:val="00DA6719"/>
    <w:rsid w:val="00DB6497"/>
    <w:rsid w:val="00DC7836"/>
    <w:rsid w:val="00DC7DAC"/>
    <w:rsid w:val="00DE27D0"/>
    <w:rsid w:val="00DE29BB"/>
    <w:rsid w:val="00DE4EB5"/>
    <w:rsid w:val="00DF15BF"/>
    <w:rsid w:val="00DF2837"/>
    <w:rsid w:val="00E0301A"/>
    <w:rsid w:val="00E0532A"/>
    <w:rsid w:val="00E11915"/>
    <w:rsid w:val="00E15245"/>
    <w:rsid w:val="00E226D5"/>
    <w:rsid w:val="00E336C1"/>
    <w:rsid w:val="00E47604"/>
    <w:rsid w:val="00E93820"/>
    <w:rsid w:val="00EA56DF"/>
    <w:rsid w:val="00ED052E"/>
    <w:rsid w:val="00ED1AFD"/>
    <w:rsid w:val="00EE18A8"/>
    <w:rsid w:val="00F14571"/>
    <w:rsid w:val="00F2124A"/>
    <w:rsid w:val="00F425BB"/>
    <w:rsid w:val="00F46720"/>
    <w:rsid w:val="00F5270E"/>
    <w:rsid w:val="00F7438C"/>
    <w:rsid w:val="00F80335"/>
    <w:rsid w:val="00F83F19"/>
    <w:rsid w:val="00F860F5"/>
    <w:rsid w:val="00FA2285"/>
    <w:rsid w:val="00FC00E5"/>
    <w:rsid w:val="00FD13CC"/>
    <w:rsid w:val="00FD62D7"/>
    <w:rsid w:val="00FE70A9"/>
    <w:rsid w:val="0FD0CC7C"/>
    <w:rsid w:val="1828AF3A"/>
    <w:rsid w:val="1EB62625"/>
    <w:rsid w:val="22EFE763"/>
    <w:rsid w:val="679114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B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ru-RU" w:eastAsia="ar-SA"/>
    </w:rPr>
  </w:style>
  <w:style w:type="paragraph" w:styleId="1">
    <w:name w:val="heading 1"/>
    <w:basedOn w:val="a"/>
    <w:next w:val="a"/>
    <w:qFormat/>
    <w:pPr>
      <w:keepNext/>
      <w:tabs>
        <w:tab w:val="num" w:pos="432"/>
      </w:tabs>
      <w:ind w:left="432" w:hanging="432"/>
      <w:jc w:val="center"/>
      <w:outlineLvl w:val="0"/>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rPr>
  </w:style>
  <w:style w:type="character" w:customStyle="1" w:styleId="10">
    <w:name w:val="Основной шрифт абзаца1"/>
  </w:style>
  <w:style w:type="character" w:styleId="a3">
    <w:name w:val="page number"/>
    <w:basedOn w:val="10"/>
    <w:semiHidden/>
  </w:style>
  <w:style w:type="paragraph" w:customStyle="1" w:styleId="a4">
    <w:name w:val="Заголовок"/>
    <w:basedOn w:val="a"/>
    <w:next w:val="a5"/>
    <w:pPr>
      <w:keepNext/>
      <w:spacing w:before="240" w:after="120"/>
    </w:pPr>
    <w:rPr>
      <w:rFonts w:ascii="Arial" w:eastAsia="Lucida Sans Unicode" w:hAnsi="Arial" w:cs="Tahoma"/>
      <w:sz w:val="28"/>
      <w:szCs w:val="28"/>
    </w:rPr>
  </w:style>
  <w:style w:type="paragraph" w:styleId="a5">
    <w:name w:val="Body Text"/>
    <w:basedOn w:val="a"/>
    <w:semiHidden/>
    <w:pPr>
      <w:spacing w:after="120"/>
    </w:pPr>
  </w:style>
  <w:style w:type="paragraph" w:styleId="a6">
    <w:name w:val="List"/>
    <w:basedOn w:val="a5"/>
    <w:semiHidden/>
    <w:rPr>
      <w:rFonts w:cs="Tahoma"/>
    </w:rPr>
  </w:style>
  <w:style w:type="paragraph" w:customStyle="1" w:styleId="11">
    <w:name w:val="Назва1"/>
    <w:basedOn w:val="a"/>
    <w:pPr>
      <w:suppressLineNumbers/>
      <w:spacing w:before="120" w:after="120"/>
    </w:pPr>
    <w:rPr>
      <w:rFonts w:cs="Tahoma"/>
      <w:i/>
      <w:iCs/>
    </w:rPr>
  </w:style>
  <w:style w:type="paragraph" w:customStyle="1" w:styleId="a7">
    <w:name w:val="Покажчик"/>
    <w:basedOn w:val="a"/>
    <w:pPr>
      <w:suppressLineNumbers/>
    </w:pPr>
    <w:rPr>
      <w:rFonts w:cs="Tahoma"/>
    </w:rPr>
  </w:style>
  <w:style w:type="paragraph" w:customStyle="1" w:styleId="31">
    <w:name w:val="Основной текст с отступом 31"/>
    <w:basedOn w:val="a"/>
    <w:pPr>
      <w:widowControl w:val="0"/>
      <w:ind w:firstLine="720"/>
      <w:jc w:val="both"/>
    </w:pPr>
    <w:rPr>
      <w:b/>
      <w:szCs w:val="20"/>
      <w:lang w:val="uk-UA"/>
    </w:rPr>
  </w:style>
  <w:style w:type="paragraph" w:customStyle="1" w:styleId="a8">
    <w:name w:val="Вміст таблиці"/>
    <w:basedOn w:val="a"/>
    <w:pPr>
      <w:suppressLineNumbers/>
    </w:pPr>
  </w:style>
  <w:style w:type="paragraph" w:styleId="a9">
    <w:name w:val="footer"/>
    <w:basedOn w:val="a"/>
    <w:semiHidden/>
    <w:pPr>
      <w:tabs>
        <w:tab w:val="center" w:pos="4677"/>
        <w:tab w:val="right" w:pos="9355"/>
      </w:tabs>
    </w:pPr>
  </w:style>
  <w:style w:type="paragraph" w:customStyle="1" w:styleId="Style2">
    <w:name w:val="Style2"/>
    <w:basedOn w:val="a"/>
    <w:pPr>
      <w:widowControl w:val="0"/>
      <w:autoSpaceDE w:val="0"/>
    </w:pPr>
  </w:style>
  <w:style w:type="paragraph" w:customStyle="1" w:styleId="bekezdes">
    <w:name w:val="bekezdes"/>
    <w:basedOn w:val="a"/>
    <w:pPr>
      <w:suppressAutoHyphens w:val="0"/>
      <w:ind w:left="284"/>
    </w:pPr>
    <w:rPr>
      <w:b/>
      <w:szCs w:val="20"/>
      <w:lang w:val="en-GB"/>
    </w:rPr>
  </w:style>
  <w:style w:type="paragraph" w:customStyle="1" w:styleId="Normal0">
    <w:name w:val="Normal0"/>
    <w:pPr>
      <w:widowControl w:val="0"/>
      <w:suppressAutoHyphens/>
    </w:pPr>
    <w:rPr>
      <w:rFonts w:eastAsia="Arial"/>
      <w:lang w:val="ru-RU" w:eastAsia="ar-SA"/>
    </w:rPr>
  </w:style>
  <w:style w:type="paragraph" w:customStyle="1" w:styleId="aa">
    <w:name w:val="Заголовок таблиці"/>
    <w:basedOn w:val="a8"/>
    <w:pPr>
      <w:jc w:val="center"/>
    </w:pPr>
    <w:rPr>
      <w:b/>
      <w:bCs/>
    </w:rPr>
  </w:style>
  <w:style w:type="paragraph" w:customStyle="1" w:styleId="ab">
    <w:name w:val="Вміст кадру"/>
    <w:basedOn w:val="a5"/>
  </w:style>
  <w:style w:type="paragraph" w:customStyle="1" w:styleId="ac">
    <w:name w:val="Знак Знак Знак"/>
    <w:basedOn w:val="a"/>
    <w:rsid w:val="00421E5C"/>
    <w:pPr>
      <w:suppressAutoHyphens w:val="0"/>
    </w:pPr>
    <w:rPr>
      <w:rFonts w:ascii="Verdana" w:hAnsi="Verdana" w:cs="Verdana"/>
      <w:sz w:val="20"/>
      <w:szCs w:val="20"/>
      <w:lang w:val="en-US" w:eastAsia="en-US"/>
    </w:rPr>
  </w:style>
  <w:style w:type="paragraph" w:styleId="ad">
    <w:name w:val="List Paragraph"/>
    <w:basedOn w:val="a"/>
    <w:uiPriority w:val="1"/>
    <w:qFormat/>
    <w:rsid w:val="00096DE7"/>
    <w:pPr>
      <w:suppressAutoHyphens w:val="0"/>
      <w:autoSpaceDE w:val="0"/>
      <w:autoSpaceDN w:val="0"/>
      <w:adjustRightInd w:val="0"/>
    </w:pPr>
    <w:rPr>
      <w:lang w:eastAsia="ru-RU"/>
    </w:rPr>
  </w:style>
  <w:style w:type="paragraph" w:customStyle="1" w:styleId="TableParagraph">
    <w:name w:val="Table Paragraph"/>
    <w:basedOn w:val="a"/>
    <w:uiPriority w:val="1"/>
    <w:qFormat/>
    <w:rsid w:val="00096DE7"/>
    <w:pPr>
      <w:suppressAutoHyphens w:val="0"/>
      <w:autoSpaceDE w:val="0"/>
      <w:autoSpaceDN w:val="0"/>
      <w:adjustRightInd w:val="0"/>
      <w:ind w:left="829" w:right="820"/>
      <w:jc w:val="center"/>
    </w:pPr>
    <w:rPr>
      <w:lang w:eastAsia="ru-RU"/>
    </w:rPr>
  </w:style>
  <w:style w:type="character" w:styleId="ae">
    <w:name w:val="Hyperlink"/>
    <w:uiPriority w:val="99"/>
    <w:unhideWhenUsed/>
    <w:rsid w:val="006D794F"/>
    <w:rPr>
      <w:color w:val="467886"/>
      <w:u w:val="single"/>
    </w:rPr>
  </w:style>
  <w:style w:type="character" w:customStyle="1" w:styleId="12">
    <w:name w:val="Незакрита згадка1"/>
    <w:uiPriority w:val="99"/>
    <w:semiHidden/>
    <w:unhideWhenUsed/>
    <w:rsid w:val="006D794F"/>
    <w:rPr>
      <w:color w:val="605E5C"/>
      <w:shd w:val="clear" w:color="auto" w:fill="E1DFDD"/>
    </w:rPr>
  </w:style>
  <w:style w:type="paragraph" w:customStyle="1" w:styleId="Default">
    <w:name w:val="Default"/>
    <w:rsid w:val="00DB6497"/>
    <w:pPr>
      <w:autoSpaceDE w:val="0"/>
      <w:autoSpaceDN w:val="0"/>
      <w:adjustRightInd w:val="0"/>
    </w:pPr>
    <w:rPr>
      <w:rFonts w:ascii="EUAlbertina" w:hAnsi="EUAlbertina" w:cs="EUAlbertina"/>
      <w:color w:val="000000"/>
      <w:sz w:val="24"/>
      <w:szCs w:val="24"/>
      <w:lang w:val="it-IT" w:eastAsia="it-IT"/>
    </w:rPr>
  </w:style>
  <w:style w:type="table" w:styleId="af">
    <w:name w:val="Table Grid"/>
    <w:basedOn w:val="a1"/>
    <w:uiPriority w:val="59"/>
    <w:rsid w:val="00F425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uiPriority w:val="99"/>
    <w:semiHidden/>
    <w:unhideWhenUsed/>
    <w:rsid w:val="00920BD5"/>
    <w:rPr>
      <w:sz w:val="16"/>
      <w:szCs w:val="16"/>
    </w:rPr>
  </w:style>
  <w:style w:type="paragraph" w:styleId="af1">
    <w:name w:val="annotation text"/>
    <w:basedOn w:val="a"/>
    <w:link w:val="af2"/>
    <w:uiPriority w:val="99"/>
    <w:unhideWhenUsed/>
    <w:rsid w:val="00920BD5"/>
    <w:rPr>
      <w:sz w:val="20"/>
      <w:szCs w:val="20"/>
    </w:rPr>
  </w:style>
  <w:style w:type="character" w:customStyle="1" w:styleId="af2">
    <w:name w:val="Текст примечания Знак"/>
    <w:link w:val="af1"/>
    <w:uiPriority w:val="99"/>
    <w:rsid w:val="00920BD5"/>
    <w:rPr>
      <w:lang w:val="ru-RU" w:eastAsia="ar-SA"/>
    </w:rPr>
  </w:style>
  <w:style w:type="paragraph" w:styleId="af3">
    <w:name w:val="annotation subject"/>
    <w:basedOn w:val="af1"/>
    <w:next w:val="af1"/>
    <w:link w:val="af4"/>
    <w:uiPriority w:val="99"/>
    <w:semiHidden/>
    <w:unhideWhenUsed/>
    <w:rsid w:val="00920BD5"/>
    <w:rPr>
      <w:b/>
      <w:bCs/>
    </w:rPr>
  </w:style>
  <w:style w:type="character" w:customStyle="1" w:styleId="af4">
    <w:name w:val="Тема примечания Знак"/>
    <w:link w:val="af3"/>
    <w:uiPriority w:val="99"/>
    <w:semiHidden/>
    <w:rsid w:val="00920BD5"/>
    <w:rPr>
      <w:b/>
      <w:bCs/>
      <w:lang w:val="ru-RU" w:eastAsia="ar-SA"/>
    </w:rPr>
  </w:style>
  <w:style w:type="paragraph" w:styleId="af5">
    <w:name w:val="Balloon Text"/>
    <w:basedOn w:val="a"/>
    <w:link w:val="af6"/>
    <w:uiPriority w:val="99"/>
    <w:semiHidden/>
    <w:unhideWhenUsed/>
    <w:rsid w:val="00920BD5"/>
    <w:rPr>
      <w:rFonts w:ascii="Tahoma" w:hAnsi="Tahoma" w:cs="Tahoma"/>
      <w:sz w:val="16"/>
      <w:szCs w:val="16"/>
    </w:rPr>
  </w:style>
  <w:style w:type="character" w:customStyle="1" w:styleId="af6">
    <w:name w:val="Текст выноски Знак"/>
    <w:link w:val="af5"/>
    <w:uiPriority w:val="99"/>
    <w:semiHidden/>
    <w:rsid w:val="00920BD5"/>
    <w:rPr>
      <w:rFonts w:ascii="Tahoma" w:hAnsi="Tahoma" w:cs="Tahoma"/>
      <w:sz w:val="16"/>
      <w:szCs w:val="16"/>
      <w:lang w:val="ru-RU" w:eastAsia="ar-SA"/>
    </w:rPr>
  </w:style>
  <w:style w:type="paragraph" w:styleId="af7">
    <w:name w:val="Revision"/>
    <w:hidden/>
    <w:uiPriority w:val="99"/>
    <w:semiHidden/>
    <w:rsid w:val="00D2616E"/>
    <w:rPr>
      <w:sz w:val="24"/>
      <w:szCs w:val="24"/>
      <w:lang w:val="ru-RU" w:eastAsia="ar-SA"/>
    </w:rPr>
  </w:style>
  <w:style w:type="paragraph" w:styleId="af8">
    <w:name w:val="header"/>
    <w:basedOn w:val="a"/>
    <w:link w:val="af9"/>
    <w:uiPriority w:val="99"/>
    <w:semiHidden/>
    <w:unhideWhenUsed/>
    <w:rsid w:val="00314894"/>
    <w:pPr>
      <w:tabs>
        <w:tab w:val="center" w:pos="4819"/>
        <w:tab w:val="right" w:pos="9639"/>
      </w:tabs>
    </w:pPr>
  </w:style>
  <w:style w:type="character" w:customStyle="1" w:styleId="af9">
    <w:name w:val="Верхний колонтитул Знак"/>
    <w:basedOn w:val="a0"/>
    <w:link w:val="af8"/>
    <w:uiPriority w:val="99"/>
    <w:semiHidden/>
    <w:rsid w:val="00314894"/>
    <w:rPr>
      <w:sz w:val="24"/>
      <w:szCs w:val="24"/>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ru-RU" w:eastAsia="ar-SA"/>
    </w:rPr>
  </w:style>
  <w:style w:type="paragraph" w:styleId="1">
    <w:name w:val="heading 1"/>
    <w:basedOn w:val="a"/>
    <w:next w:val="a"/>
    <w:qFormat/>
    <w:pPr>
      <w:keepNext/>
      <w:tabs>
        <w:tab w:val="num" w:pos="432"/>
      </w:tabs>
      <w:ind w:left="432" w:hanging="432"/>
      <w:jc w:val="center"/>
      <w:outlineLvl w:val="0"/>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rPr>
  </w:style>
  <w:style w:type="character" w:customStyle="1" w:styleId="10">
    <w:name w:val="Основной шрифт абзаца1"/>
  </w:style>
  <w:style w:type="character" w:styleId="a3">
    <w:name w:val="page number"/>
    <w:basedOn w:val="10"/>
    <w:semiHidden/>
  </w:style>
  <w:style w:type="paragraph" w:customStyle="1" w:styleId="a4">
    <w:name w:val="Заголовок"/>
    <w:basedOn w:val="a"/>
    <w:next w:val="a5"/>
    <w:pPr>
      <w:keepNext/>
      <w:spacing w:before="240" w:after="120"/>
    </w:pPr>
    <w:rPr>
      <w:rFonts w:ascii="Arial" w:eastAsia="Lucida Sans Unicode" w:hAnsi="Arial" w:cs="Tahoma"/>
      <w:sz w:val="28"/>
      <w:szCs w:val="28"/>
    </w:rPr>
  </w:style>
  <w:style w:type="paragraph" w:styleId="a5">
    <w:name w:val="Body Text"/>
    <w:basedOn w:val="a"/>
    <w:semiHidden/>
    <w:pPr>
      <w:spacing w:after="120"/>
    </w:pPr>
  </w:style>
  <w:style w:type="paragraph" w:styleId="a6">
    <w:name w:val="List"/>
    <w:basedOn w:val="a5"/>
    <w:semiHidden/>
    <w:rPr>
      <w:rFonts w:cs="Tahoma"/>
    </w:rPr>
  </w:style>
  <w:style w:type="paragraph" w:customStyle="1" w:styleId="11">
    <w:name w:val="Назва1"/>
    <w:basedOn w:val="a"/>
    <w:pPr>
      <w:suppressLineNumbers/>
      <w:spacing w:before="120" w:after="120"/>
    </w:pPr>
    <w:rPr>
      <w:rFonts w:cs="Tahoma"/>
      <w:i/>
      <w:iCs/>
    </w:rPr>
  </w:style>
  <w:style w:type="paragraph" w:customStyle="1" w:styleId="a7">
    <w:name w:val="Покажчик"/>
    <w:basedOn w:val="a"/>
    <w:pPr>
      <w:suppressLineNumbers/>
    </w:pPr>
    <w:rPr>
      <w:rFonts w:cs="Tahoma"/>
    </w:rPr>
  </w:style>
  <w:style w:type="paragraph" w:customStyle="1" w:styleId="31">
    <w:name w:val="Основной текст с отступом 31"/>
    <w:basedOn w:val="a"/>
    <w:pPr>
      <w:widowControl w:val="0"/>
      <w:ind w:firstLine="720"/>
      <w:jc w:val="both"/>
    </w:pPr>
    <w:rPr>
      <w:b/>
      <w:szCs w:val="20"/>
      <w:lang w:val="uk-UA"/>
    </w:rPr>
  </w:style>
  <w:style w:type="paragraph" w:customStyle="1" w:styleId="a8">
    <w:name w:val="Вміст таблиці"/>
    <w:basedOn w:val="a"/>
    <w:pPr>
      <w:suppressLineNumbers/>
    </w:pPr>
  </w:style>
  <w:style w:type="paragraph" w:styleId="a9">
    <w:name w:val="footer"/>
    <w:basedOn w:val="a"/>
    <w:semiHidden/>
    <w:pPr>
      <w:tabs>
        <w:tab w:val="center" w:pos="4677"/>
        <w:tab w:val="right" w:pos="9355"/>
      </w:tabs>
    </w:pPr>
  </w:style>
  <w:style w:type="paragraph" w:customStyle="1" w:styleId="Style2">
    <w:name w:val="Style2"/>
    <w:basedOn w:val="a"/>
    <w:pPr>
      <w:widowControl w:val="0"/>
      <w:autoSpaceDE w:val="0"/>
    </w:pPr>
  </w:style>
  <w:style w:type="paragraph" w:customStyle="1" w:styleId="bekezdes">
    <w:name w:val="bekezdes"/>
    <w:basedOn w:val="a"/>
    <w:pPr>
      <w:suppressAutoHyphens w:val="0"/>
      <w:ind w:left="284"/>
    </w:pPr>
    <w:rPr>
      <w:b/>
      <w:szCs w:val="20"/>
      <w:lang w:val="en-GB"/>
    </w:rPr>
  </w:style>
  <w:style w:type="paragraph" w:customStyle="1" w:styleId="Normal0">
    <w:name w:val="Normal0"/>
    <w:pPr>
      <w:widowControl w:val="0"/>
      <w:suppressAutoHyphens/>
    </w:pPr>
    <w:rPr>
      <w:rFonts w:eastAsia="Arial"/>
      <w:lang w:val="ru-RU" w:eastAsia="ar-SA"/>
    </w:rPr>
  </w:style>
  <w:style w:type="paragraph" w:customStyle="1" w:styleId="aa">
    <w:name w:val="Заголовок таблиці"/>
    <w:basedOn w:val="a8"/>
    <w:pPr>
      <w:jc w:val="center"/>
    </w:pPr>
    <w:rPr>
      <w:b/>
      <w:bCs/>
    </w:rPr>
  </w:style>
  <w:style w:type="paragraph" w:customStyle="1" w:styleId="ab">
    <w:name w:val="Вміст кадру"/>
    <w:basedOn w:val="a5"/>
  </w:style>
  <w:style w:type="paragraph" w:customStyle="1" w:styleId="ac">
    <w:name w:val="Знак Знак Знак"/>
    <w:basedOn w:val="a"/>
    <w:rsid w:val="00421E5C"/>
    <w:pPr>
      <w:suppressAutoHyphens w:val="0"/>
    </w:pPr>
    <w:rPr>
      <w:rFonts w:ascii="Verdana" w:hAnsi="Verdana" w:cs="Verdana"/>
      <w:sz w:val="20"/>
      <w:szCs w:val="20"/>
      <w:lang w:val="en-US" w:eastAsia="en-US"/>
    </w:rPr>
  </w:style>
  <w:style w:type="paragraph" w:styleId="ad">
    <w:name w:val="List Paragraph"/>
    <w:basedOn w:val="a"/>
    <w:uiPriority w:val="1"/>
    <w:qFormat/>
    <w:rsid w:val="00096DE7"/>
    <w:pPr>
      <w:suppressAutoHyphens w:val="0"/>
      <w:autoSpaceDE w:val="0"/>
      <w:autoSpaceDN w:val="0"/>
      <w:adjustRightInd w:val="0"/>
    </w:pPr>
    <w:rPr>
      <w:lang w:eastAsia="ru-RU"/>
    </w:rPr>
  </w:style>
  <w:style w:type="paragraph" w:customStyle="1" w:styleId="TableParagraph">
    <w:name w:val="Table Paragraph"/>
    <w:basedOn w:val="a"/>
    <w:uiPriority w:val="1"/>
    <w:qFormat/>
    <w:rsid w:val="00096DE7"/>
    <w:pPr>
      <w:suppressAutoHyphens w:val="0"/>
      <w:autoSpaceDE w:val="0"/>
      <w:autoSpaceDN w:val="0"/>
      <w:adjustRightInd w:val="0"/>
      <w:ind w:left="829" w:right="820"/>
      <w:jc w:val="center"/>
    </w:pPr>
    <w:rPr>
      <w:lang w:eastAsia="ru-RU"/>
    </w:rPr>
  </w:style>
  <w:style w:type="character" w:styleId="ae">
    <w:name w:val="Hyperlink"/>
    <w:uiPriority w:val="99"/>
    <w:unhideWhenUsed/>
    <w:rsid w:val="006D794F"/>
    <w:rPr>
      <w:color w:val="467886"/>
      <w:u w:val="single"/>
    </w:rPr>
  </w:style>
  <w:style w:type="character" w:customStyle="1" w:styleId="12">
    <w:name w:val="Незакрита згадка1"/>
    <w:uiPriority w:val="99"/>
    <w:semiHidden/>
    <w:unhideWhenUsed/>
    <w:rsid w:val="006D794F"/>
    <w:rPr>
      <w:color w:val="605E5C"/>
      <w:shd w:val="clear" w:color="auto" w:fill="E1DFDD"/>
    </w:rPr>
  </w:style>
  <w:style w:type="paragraph" w:customStyle="1" w:styleId="Default">
    <w:name w:val="Default"/>
    <w:rsid w:val="00DB6497"/>
    <w:pPr>
      <w:autoSpaceDE w:val="0"/>
      <w:autoSpaceDN w:val="0"/>
      <w:adjustRightInd w:val="0"/>
    </w:pPr>
    <w:rPr>
      <w:rFonts w:ascii="EUAlbertina" w:hAnsi="EUAlbertina" w:cs="EUAlbertina"/>
      <w:color w:val="000000"/>
      <w:sz w:val="24"/>
      <w:szCs w:val="24"/>
      <w:lang w:val="it-IT" w:eastAsia="it-IT"/>
    </w:rPr>
  </w:style>
  <w:style w:type="table" w:styleId="af">
    <w:name w:val="Table Grid"/>
    <w:basedOn w:val="a1"/>
    <w:uiPriority w:val="59"/>
    <w:rsid w:val="00F425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uiPriority w:val="99"/>
    <w:semiHidden/>
    <w:unhideWhenUsed/>
    <w:rsid w:val="00920BD5"/>
    <w:rPr>
      <w:sz w:val="16"/>
      <w:szCs w:val="16"/>
    </w:rPr>
  </w:style>
  <w:style w:type="paragraph" w:styleId="af1">
    <w:name w:val="annotation text"/>
    <w:basedOn w:val="a"/>
    <w:link w:val="af2"/>
    <w:uiPriority w:val="99"/>
    <w:unhideWhenUsed/>
    <w:rsid w:val="00920BD5"/>
    <w:rPr>
      <w:sz w:val="20"/>
      <w:szCs w:val="20"/>
    </w:rPr>
  </w:style>
  <w:style w:type="character" w:customStyle="1" w:styleId="af2">
    <w:name w:val="Текст примечания Знак"/>
    <w:link w:val="af1"/>
    <w:uiPriority w:val="99"/>
    <w:rsid w:val="00920BD5"/>
    <w:rPr>
      <w:lang w:val="ru-RU" w:eastAsia="ar-SA"/>
    </w:rPr>
  </w:style>
  <w:style w:type="paragraph" w:styleId="af3">
    <w:name w:val="annotation subject"/>
    <w:basedOn w:val="af1"/>
    <w:next w:val="af1"/>
    <w:link w:val="af4"/>
    <w:uiPriority w:val="99"/>
    <w:semiHidden/>
    <w:unhideWhenUsed/>
    <w:rsid w:val="00920BD5"/>
    <w:rPr>
      <w:b/>
      <w:bCs/>
    </w:rPr>
  </w:style>
  <w:style w:type="character" w:customStyle="1" w:styleId="af4">
    <w:name w:val="Тема примечания Знак"/>
    <w:link w:val="af3"/>
    <w:uiPriority w:val="99"/>
    <w:semiHidden/>
    <w:rsid w:val="00920BD5"/>
    <w:rPr>
      <w:b/>
      <w:bCs/>
      <w:lang w:val="ru-RU" w:eastAsia="ar-SA"/>
    </w:rPr>
  </w:style>
  <w:style w:type="paragraph" w:styleId="af5">
    <w:name w:val="Balloon Text"/>
    <w:basedOn w:val="a"/>
    <w:link w:val="af6"/>
    <w:uiPriority w:val="99"/>
    <w:semiHidden/>
    <w:unhideWhenUsed/>
    <w:rsid w:val="00920BD5"/>
    <w:rPr>
      <w:rFonts w:ascii="Tahoma" w:hAnsi="Tahoma" w:cs="Tahoma"/>
      <w:sz w:val="16"/>
      <w:szCs w:val="16"/>
    </w:rPr>
  </w:style>
  <w:style w:type="character" w:customStyle="1" w:styleId="af6">
    <w:name w:val="Текст выноски Знак"/>
    <w:link w:val="af5"/>
    <w:uiPriority w:val="99"/>
    <w:semiHidden/>
    <w:rsid w:val="00920BD5"/>
    <w:rPr>
      <w:rFonts w:ascii="Tahoma" w:hAnsi="Tahoma" w:cs="Tahoma"/>
      <w:sz w:val="16"/>
      <w:szCs w:val="16"/>
      <w:lang w:val="ru-RU" w:eastAsia="ar-SA"/>
    </w:rPr>
  </w:style>
  <w:style w:type="paragraph" w:styleId="af7">
    <w:name w:val="Revision"/>
    <w:hidden/>
    <w:uiPriority w:val="99"/>
    <w:semiHidden/>
    <w:rsid w:val="00D2616E"/>
    <w:rPr>
      <w:sz w:val="24"/>
      <w:szCs w:val="24"/>
      <w:lang w:val="ru-RU" w:eastAsia="ar-SA"/>
    </w:rPr>
  </w:style>
  <w:style w:type="paragraph" w:styleId="af8">
    <w:name w:val="header"/>
    <w:basedOn w:val="a"/>
    <w:link w:val="af9"/>
    <w:uiPriority w:val="99"/>
    <w:semiHidden/>
    <w:unhideWhenUsed/>
    <w:rsid w:val="00314894"/>
    <w:pPr>
      <w:tabs>
        <w:tab w:val="center" w:pos="4819"/>
        <w:tab w:val="right" w:pos="9639"/>
      </w:tabs>
    </w:pPr>
  </w:style>
  <w:style w:type="character" w:customStyle="1" w:styleId="af9">
    <w:name w:val="Верхний колонтитул Знак"/>
    <w:basedOn w:val="a0"/>
    <w:link w:val="af8"/>
    <w:uiPriority w:val="99"/>
    <w:semiHidden/>
    <w:rsid w:val="00314894"/>
    <w:rPr>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94444">
      <w:bodyDiv w:val="1"/>
      <w:marLeft w:val="0"/>
      <w:marRight w:val="0"/>
      <w:marTop w:val="0"/>
      <w:marBottom w:val="0"/>
      <w:divBdr>
        <w:top w:val="none" w:sz="0" w:space="0" w:color="auto"/>
        <w:left w:val="none" w:sz="0" w:space="0" w:color="auto"/>
        <w:bottom w:val="none" w:sz="0" w:space="0" w:color="auto"/>
        <w:right w:val="none" w:sz="0" w:space="0" w:color="auto"/>
      </w:divBdr>
    </w:div>
    <w:div w:id="235290324">
      <w:bodyDiv w:val="1"/>
      <w:marLeft w:val="0"/>
      <w:marRight w:val="0"/>
      <w:marTop w:val="0"/>
      <w:marBottom w:val="0"/>
      <w:divBdr>
        <w:top w:val="none" w:sz="0" w:space="0" w:color="auto"/>
        <w:left w:val="none" w:sz="0" w:space="0" w:color="auto"/>
        <w:bottom w:val="none" w:sz="0" w:space="0" w:color="auto"/>
        <w:right w:val="none" w:sz="0" w:space="0" w:color="auto"/>
      </w:divBdr>
    </w:div>
    <w:div w:id="255747811">
      <w:bodyDiv w:val="1"/>
      <w:marLeft w:val="0"/>
      <w:marRight w:val="0"/>
      <w:marTop w:val="0"/>
      <w:marBottom w:val="0"/>
      <w:divBdr>
        <w:top w:val="none" w:sz="0" w:space="0" w:color="auto"/>
        <w:left w:val="none" w:sz="0" w:space="0" w:color="auto"/>
        <w:bottom w:val="none" w:sz="0" w:space="0" w:color="auto"/>
        <w:right w:val="none" w:sz="0" w:space="0" w:color="auto"/>
      </w:divBdr>
    </w:div>
    <w:div w:id="504636500">
      <w:bodyDiv w:val="1"/>
      <w:marLeft w:val="0"/>
      <w:marRight w:val="0"/>
      <w:marTop w:val="0"/>
      <w:marBottom w:val="0"/>
      <w:divBdr>
        <w:top w:val="none" w:sz="0" w:space="0" w:color="auto"/>
        <w:left w:val="none" w:sz="0" w:space="0" w:color="auto"/>
        <w:bottom w:val="none" w:sz="0" w:space="0" w:color="auto"/>
        <w:right w:val="none" w:sz="0" w:space="0" w:color="auto"/>
      </w:divBdr>
    </w:div>
    <w:div w:id="758404414">
      <w:bodyDiv w:val="1"/>
      <w:marLeft w:val="0"/>
      <w:marRight w:val="0"/>
      <w:marTop w:val="0"/>
      <w:marBottom w:val="0"/>
      <w:divBdr>
        <w:top w:val="none" w:sz="0" w:space="0" w:color="auto"/>
        <w:left w:val="none" w:sz="0" w:space="0" w:color="auto"/>
        <w:bottom w:val="none" w:sz="0" w:space="0" w:color="auto"/>
        <w:right w:val="none" w:sz="0" w:space="0" w:color="auto"/>
      </w:divBdr>
    </w:div>
    <w:div w:id="809595905">
      <w:bodyDiv w:val="1"/>
      <w:marLeft w:val="0"/>
      <w:marRight w:val="0"/>
      <w:marTop w:val="0"/>
      <w:marBottom w:val="0"/>
      <w:divBdr>
        <w:top w:val="none" w:sz="0" w:space="0" w:color="auto"/>
        <w:left w:val="none" w:sz="0" w:space="0" w:color="auto"/>
        <w:bottom w:val="none" w:sz="0" w:space="0" w:color="auto"/>
        <w:right w:val="none" w:sz="0" w:space="0" w:color="auto"/>
      </w:divBdr>
    </w:div>
    <w:div w:id="821850722">
      <w:bodyDiv w:val="1"/>
      <w:marLeft w:val="0"/>
      <w:marRight w:val="0"/>
      <w:marTop w:val="0"/>
      <w:marBottom w:val="0"/>
      <w:divBdr>
        <w:top w:val="none" w:sz="0" w:space="0" w:color="auto"/>
        <w:left w:val="none" w:sz="0" w:space="0" w:color="auto"/>
        <w:bottom w:val="none" w:sz="0" w:space="0" w:color="auto"/>
        <w:right w:val="none" w:sz="0" w:space="0" w:color="auto"/>
      </w:divBdr>
    </w:div>
    <w:div w:id="872962796">
      <w:bodyDiv w:val="1"/>
      <w:marLeft w:val="0"/>
      <w:marRight w:val="0"/>
      <w:marTop w:val="0"/>
      <w:marBottom w:val="0"/>
      <w:divBdr>
        <w:top w:val="none" w:sz="0" w:space="0" w:color="auto"/>
        <w:left w:val="none" w:sz="0" w:space="0" w:color="auto"/>
        <w:bottom w:val="none" w:sz="0" w:space="0" w:color="auto"/>
        <w:right w:val="none" w:sz="0" w:space="0" w:color="auto"/>
      </w:divBdr>
    </w:div>
    <w:div w:id="891813953">
      <w:bodyDiv w:val="1"/>
      <w:marLeft w:val="0"/>
      <w:marRight w:val="0"/>
      <w:marTop w:val="0"/>
      <w:marBottom w:val="0"/>
      <w:divBdr>
        <w:top w:val="none" w:sz="0" w:space="0" w:color="auto"/>
        <w:left w:val="none" w:sz="0" w:space="0" w:color="auto"/>
        <w:bottom w:val="none" w:sz="0" w:space="0" w:color="auto"/>
        <w:right w:val="none" w:sz="0" w:space="0" w:color="auto"/>
      </w:divBdr>
    </w:div>
    <w:div w:id="1024936797">
      <w:bodyDiv w:val="1"/>
      <w:marLeft w:val="0"/>
      <w:marRight w:val="0"/>
      <w:marTop w:val="0"/>
      <w:marBottom w:val="0"/>
      <w:divBdr>
        <w:top w:val="none" w:sz="0" w:space="0" w:color="auto"/>
        <w:left w:val="none" w:sz="0" w:space="0" w:color="auto"/>
        <w:bottom w:val="none" w:sz="0" w:space="0" w:color="auto"/>
        <w:right w:val="none" w:sz="0" w:space="0" w:color="auto"/>
      </w:divBdr>
    </w:div>
    <w:div w:id="1041979451">
      <w:bodyDiv w:val="1"/>
      <w:marLeft w:val="0"/>
      <w:marRight w:val="0"/>
      <w:marTop w:val="0"/>
      <w:marBottom w:val="0"/>
      <w:divBdr>
        <w:top w:val="none" w:sz="0" w:space="0" w:color="auto"/>
        <w:left w:val="none" w:sz="0" w:space="0" w:color="auto"/>
        <w:bottom w:val="none" w:sz="0" w:space="0" w:color="auto"/>
        <w:right w:val="none" w:sz="0" w:space="0" w:color="auto"/>
      </w:divBdr>
    </w:div>
    <w:div w:id="1103375541">
      <w:bodyDiv w:val="1"/>
      <w:marLeft w:val="0"/>
      <w:marRight w:val="0"/>
      <w:marTop w:val="0"/>
      <w:marBottom w:val="0"/>
      <w:divBdr>
        <w:top w:val="none" w:sz="0" w:space="0" w:color="auto"/>
        <w:left w:val="none" w:sz="0" w:space="0" w:color="auto"/>
        <w:bottom w:val="none" w:sz="0" w:space="0" w:color="auto"/>
        <w:right w:val="none" w:sz="0" w:space="0" w:color="auto"/>
      </w:divBdr>
    </w:div>
    <w:div w:id="1140347417">
      <w:bodyDiv w:val="1"/>
      <w:marLeft w:val="0"/>
      <w:marRight w:val="0"/>
      <w:marTop w:val="0"/>
      <w:marBottom w:val="0"/>
      <w:divBdr>
        <w:top w:val="none" w:sz="0" w:space="0" w:color="auto"/>
        <w:left w:val="none" w:sz="0" w:space="0" w:color="auto"/>
        <w:bottom w:val="none" w:sz="0" w:space="0" w:color="auto"/>
        <w:right w:val="none" w:sz="0" w:space="0" w:color="auto"/>
      </w:divBdr>
    </w:div>
    <w:div w:id="1154177345">
      <w:bodyDiv w:val="1"/>
      <w:marLeft w:val="0"/>
      <w:marRight w:val="0"/>
      <w:marTop w:val="0"/>
      <w:marBottom w:val="0"/>
      <w:divBdr>
        <w:top w:val="none" w:sz="0" w:space="0" w:color="auto"/>
        <w:left w:val="none" w:sz="0" w:space="0" w:color="auto"/>
        <w:bottom w:val="none" w:sz="0" w:space="0" w:color="auto"/>
        <w:right w:val="none" w:sz="0" w:space="0" w:color="auto"/>
      </w:divBdr>
    </w:div>
    <w:div w:id="1215459843">
      <w:bodyDiv w:val="1"/>
      <w:marLeft w:val="0"/>
      <w:marRight w:val="0"/>
      <w:marTop w:val="0"/>
      <w:marBottom w:val="0"/>
      <w:divBdr>
        <w:top w:val="none" w:sz="0" w:space="0" w:color="auto"/>
        <w:left w:val="none" w:sz="0" w:space="0" w:color="auto"/>
        <w:bottom w:val="none" w:sz="0" w:space="0" w:color="auto"/>
        <w:right w:val="none" w:sz="0" w:space="0" w:color="auto"/>
      </w:divBdr>
    </w:div>
    <w:div w:id="1377705133">
      <w:bodyDiv w:val="1"/>
      <w:marLeft w:val="0"/>
      <w:marRight w:val="0"/>
      <w:marTop w:val="0"/>
      <w:marBottom w:val="0"/>
      <w:divBdr>
        <w:top w:val="none" w:sz="0" w:space="0" w:color="auto"/>
        <w:left w:val="none" w:sz="0" w:space="0" w:color="auto"/>
        <w:bottom w:val="none" w:sz="0" w:space="0" w:color="auto"/>
        <w:right w:val="none" w:sz="0" w:space="0" w:color="auto"/>
      </w:divBdr>
    </w:div>
    <w:div w:id="1486580150">
      <w:bodyDiv w:val="1"/>
      <w:marLeft w:val="0"/>
      <w:marRight w:val="0"/>
      <w:marTop w:val="0"/>
      <w:marBottom w:val="0"/>
      <w:divBdr>
        <w:top w:val="none" w:sz="0" w:space="0" w:color="auto"/>
        <w:left w:val="none" w:sz="0" w:space="0" w:color="auto"/>
        <w:bottom w:val="none" w:sz="0" w:space="0" w:color="auto"/>
        <w:right w:val="none" w:sz="0" w:space="0" w:color="auto"/>
      </w:divBdr>
    </w:div>
    <w:div w:id="1498426035">
      <w:bodyDiv w:val="1"/>
      <w:marLeft w:val="0"/>
      <w:marRight w:val="0"/>
      <w:marTop w:val="0"/>
      <w:marBottom w:val="0"/>
      <w:divBdr>
        <w:top w:val="none" w:sz="0" w:space="0" w:color="auto"/>
        <w:left w:val="none" w:sz="0" w:space="0" w:color="auto"/>
        <w:bottom w:val="none" w:sz="0" w:space="0" w:color="auto"/>
        <w:right w:val="none" w:sz="0" w:space="0" w:color="auto"/>
      </w:divBdr>
    </w:div>
    <w:div w:id="1574392211">
      <w:bodyDiv w:val="1"/>
      <w:marLeft w:val="0"/>
      <w:marRight w:val="0"/>
      <w:marTop w:val="0"/>
      <w:marBottom w:val="0"/>
      <w:divBdr>
        <w:top w:val="none" w:sz="0" w:space="0" w:color="auto"/>
        <w:left w:val="none" w:sz="0" w:space="0" w:color="auto"/>
        <w:bottom w:val="none" w:sz="0" w:space="0" w:color="auto"/>
        <w:right w:val="none" w:sz="0" w:space="0" w:color="auto"/>
      </w:divBdr>
    </w:div>
    <w:div w:id="1741443276">
      <w:bodyDiv w:val="1"/>
      <w:marLeft w:val="0"/>
      <w:marRight w:val="0"/>
      <w:marTop w:val="0"/>
      <w:marBottom w:val="0"/>
      <w:divBdr>
        <w:top w:val="none" w:sz="0" w:space="0" w:color="auto"/>
        <w:left w:val="none" w:sz="0" w:space="0" w:color="auto"/>
        <w:bottom w:val="none" w:sz="0" w:space="0" w:color="auto"/>
        <w:right w:val="none" w:sz="0" w:space="0" w:color="auto"/>
      </w:divBdr>
    </w:div>
    <w:div w:id="1877964282">
      <w:bodyDiv w:val="1"/>
      <w:marLeft w:val="0"/>
      <w:marRight w:val="0"/>
      <w:marTop w:val="0"/>
      <w:marBottom w:val="0"/>
      <w:divBdr>
        <w:top w:val="none" w:sz="0" w:space="0" w:color="auto"/>
        <w:left w:val="none" w:sz="0" w:space="0" w:color="auto"/>
        <w:bottom w:val="none" w:sz="0" w:space="0" w:color="auto"/>
        <w:right w:val="none" w:sz="0" w:space="0" w:color="auto"/>
      </w:divBdr>
    </w:div>
    <w:div w:id="1983195344">
      <w:bodyDiv w:val="1"/>
      <w:marLeft w:val="0"/>
      <w:marRight w:val="0"/>
      <w:marTop w:val="0"/>
      <w:marBottom w:val="0"/>
      <w:divBdr>
        <w:top w:val="none" w:sz="0" w:space="0" w:color="auto"/>
        <w:left w:val="none" w:sz="0" w:space="0" w:color="auto"/>
        <w:bottom w:val="none" w:sz="0" w:space="0" w:color="auto"/>
        <w:right w:val="none" w:sz="0" w:space="0" w:color="auto"/>
      </w:divBdr>
    </w:div>
    <w:div w:id="2015718888">
      <w:bodyDiv w:val="1"/>
      <w:marLeft w:val="0"/>
      <w:marRight w:val="0"/>
      <w:marTop w:val="0"/>
      <w:marBottom w:val="0"/>
      <w:divBdr>
        <w:top w:val="none" w:sz="0" w:space="0" w:color="auto"/>
        <w:left w:val="none" w:sz="0" w:space="0" w:color="auto"/>
        <w:bottom w:val="none" w:sz="0" w:space="0" w:color="auto"/>
        <w:right w:val="none" w:sz="0" w:space="0" w:color="auto"/>
      </w:divBdr>
    </w:div>
    <w:div w:id="2028485759">
      <w:bodyDiv w:val="1"/>
      <w:marLeft w:val="0"/>
      <w:marRight w:val="0"/>
      <w:marTop w:val="0"/>
      <w:marBottom w:val="0"/>
      <w:divBdr>
        <w:top w:val="none" w:sz="0" w:space="0" w:color="auto"/>
        <w:left w:val="none" w:sz="0" w:space="0" w:color="auto"/>
        <w:bottom w:val="none" w:sz="0" w:space="0" w:color="auto"/>
        <w:right w:val="none" w:sz="0" w:space="0" w:color="auto"/>
      </w:divBdr>
    </w:div>
    <w:div w:id="21458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75325-E05F-43E4-9C08-444B8148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7050</Words>
  <Characters>4020</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
  <LinksUpToDate>false</LinksUpToDate>
  <CharactersWithSpaces>11048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A.Starovir</dc:creator>
  <cp:lastModifiedBy>Natalia_Ostapiv</cp:lastModifiedBy>
  <cp:revision>2</cp:revision>
  <cp:lastPrinted>2020-10-28T21:49:00Z</cp:lastPrinted>
  <dcterms:created xsi:type="dcterms:W3CDTF">2025-02-04T10:20:00Z</dcterms:created>
  <dcterms:modified xsi:type="dcterms:W3CDTF">2025-02-04T10:20:00Z</dcterms:modified>
</cp:coreProperties>
</file>