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1B503" w14:textId="77777777" w:rsidR="0013593A" w:rsidRPr="00F46AB0" w:rsidRDefault="0013593A" w:rsidP="0013593A">
      <w:pPr>
        <w:keepNext/>
        <w:tabs>
          <w:tab w:val="left" w:pos="1620"/>
        </w:tabs>
        <w:ind w:firstLine="425"/>
        <w:jc w:val="center"/>
        <w:outlineLvl w:val="0"/>
        <w:rPr>
          <w:rFonts w:eastAsia="Arial Unicode MS"/>
          <w:b/>
          <w:bCs/>
          <w:lang w:val="uk-UA"/>
        </w:rPr>
      </w:pPr>
      <w:r w:rsidRPr="00F46AB0">
        <w:rPr>
          <w:rFonts w:eastAsia="Arial Unicode MS"/>
          <w:b/>
          <w:bCs/>
          <w:lang w:val="uk-UA"/>
        </w:rPr>
        <w:t>Коротка характеристика препарату</w:t>
      </w:r>
    </w:p>
    <w:p w14:paraId="3BC1B504" w14:textId="77777777" w:rsidR="0013593A" w:rsidRPr="00F46AB0" w:rsidRDefault="0013593A" w:rsidP="0013593A">
      <w:pPr>
        <w:ind w:firstLine="425"/>
        <w:rPr>
          <w:b/>
          <w:lang w:val="uk-UA"/>
        </w:rPr>
      </w:pPr>
      <w:r w:rsidRPr="00F46AB0">
        <w:rPr>
          <w:b/>
          <w:lang w:val="uk-UA"/>
        </w:rPr>
        <w:t>1. Назва</w:t>
      </w:r>
    </w:p>
    <w:p w14:paraId="3BC1B505" w14:textId="77777777" w:rsidR="0013593A" w:rsidRPr="00F46AB0" w:rsidRDefault="0013593A" w:rsidP="0013593A">
      <w:pPr>
        <w:ind w:firstLine="425"/>
        <w:rPr>
          <w:caps/>
          <w:lang w:val="uk-UA"/>
        </w:rPr>
      </w:pPr>
      <w:r w:rsidRPr="00F46AB0">
        <w:rPr>
          <w:caps/>
          <w:lang w:val="uk-UA"/>
        </w:rPr>
        <w:t>ДаноКСАН-25</w:t>
      </w:r>
    </w:p>
    <w:p w14:paraId="3BC1B506" w14:textId="77777777" w:rsidR="0013593A" w:rsidRPr="00F46AB0" w:rsidRDefault="0013593A" w:rsidP="0013593A">
      <w:pPr>
        <w:ind w:firstLine="425"/>
        <w:rPr>
          <w:b/>
          <w:lang w:val="uk-UA"/>
        </w:rPr>
      </w:pPr>
      <w:r w:rsidRPr="00F46AB0">
        <w:rPr>
          <w:b/>
          <w:lang w:val="uk-UA"/>
        </w:rPr>
        <w:t>2. Склад</w:t>
      </w:r>
    </w:p>
    <w:p w14:paraId="3BC1B507" w14:textId="77777777" w:rsidR="0013593A" w:rsidRPr="00F46AB0" w:rsidRDefault="0013593A" w:rsidP="0013593A">
      <w:pPr>
        <w:ind w:firstLine="425"/>
        <w:jc w:val="both"/>
        <w:rPr>
          <w:lang w:val="uk-UA"/>
        </w:rPr>
      </w:pPr>
      <w:r w:rsidRPr="00F46AB0">
        <w:rPr>
          <w:lang w:val="uk-UA"/>
        </w:rPr>
        <w:t>1 мл препарату містить діючу речовину:</w:t>
      </w:r>
    </w:p>
    <w:p w14:paraId="3BC1B508" w14:textId="77777777" w:rsidR="0013593A" w:rsidRPr="00F46AB0" w:rsidRDefault="0013593A" w:rsidP="0013593A">
      <w:pPr>
        <w:ind w:firstLine="425"/>
        <w:rPr>
          <w:snapToGrid w:val="0"/>
          <w:lang w:val="uk-UA"/>
        </w:rPr>
      </w:pPr>
      <w:proofErr w:type="spellStart"/>
      <w:r w:rsidRPr="00F46AB0">
        <w:rPr>
          <w:snapToGrid w:val="0"/>
          <w:lang w:val="uk-UA"/>
        </w:rPr>
        <w:t>данофлоксацин</w:t>
      </w:r>
      <w:proofErr w:type="spellEnd"/>
      <w:r w:rsidRPr="00F46AB0">
        <w:rPr>
          <w:snapToGrid w:val="0"/>
          <w:lang w:val="uk-UA"/>
        </w:rPr>
        <w:t xml:space="preserve"> (у формі </w:t>
      </w:r>
      <w:proofErr w:type="spellStart"/>
      <w:r w:rsidRPr="00F46AB0">
        <w:rPr>
          <w:snapToGrid w:val="0"/>
          <w:lang w:val="uk-UA"/>
        </w:rPr>
        <w:t>данофлоксацину</w:t>
      </w:r>
      <w:proofErr w:type="spellEnd"/>
      <w:r w:rsidRPr="00F46AB0">
        <w:rPr>
          <w:snapToGrid w:val="0"/>
          <w:lang w:val="uk-UA"/>
        </w:rPr>
        <w:t xml:space="preserve"> </w:t>
      </w:r>
      <w:proofErr w:type="spellStart"/>
      <w:r w:rsidRPr="00F46AB0">
        <w:rPr>
          <w:snapToGrid w:val="0"/>
          <w:lang w:val="uk-UA"/>
        </w:rPr>
        <w:t>мезилату</w:t>
      </w:r>
      <w:proofErr w:type="spellEnd"/>
      <w:r w:rsidRPr="00F46AB0">
        <w:rPr>
          <w:snapToGrid w:val="0"/>
          <w:lang w:val="uk-UA"/>
        </w:rPr>
        <w:t>) – 25 мг.</w:t>
      </w:r>
    </w:p>
    <w:p w14:paraId="3BC1B509" w14:textId="77777777" w:rsidR="0013593A" w:rsidRPr="00F46AB0" w:rsidRDefault="0013593A" w:rsidP="0013593A">
      <w:pPr>
        <w:ind w:firstLine="425"/>
        <w:jc w:val="both"/>
        <w:rPr>
          <w:lang w:val="uk-UA"/>
        </w:rPr>
      </w:pPr>
      <w:r w:rsidRPr="00F46AB0">
        <w:rPr>
          <w:lang w:val="uk-UA"/>
        </w:rPr>
        <w:t xml:space="preserve">Допоміжні речовини: кислота молочна, натрію </w:t>
      </w:r>
      <w:proofErr w:type="spellStart"/>
      <w:r w:rsidRPr="00F46AB0">
        <w:rPr>
          <w:lang w:val="uk-UA"/>
        </w:rPr>
        <w:t>метабісульфіт</w:t>
      </w:r>
      <w:proofErr w:type="spellEnd"/>
      <w:r w:rsidRPr="00F46AB0">
        <w:rPr>
          <w:lang w:val="uk-UA"/>
        </w:rPr>
        <w:t xml:space="preserve">, спирт </w:t>
      </w:r>
      <w:proofErr w:type="spellStart"/>
      <w:r w:rsidRPr="00F46AB0">
        <w:rPr>
          <w:lang w:val="uk-UA"/>
        </w:rPr>
        <w:t>бензиловий</w:t>
      </w:r>
      <w:proofErr w:type="spellEnd"/>
      <w:r w:rsidRPr="00F46AB0">
        <w:rPr>
          <w:lang w:val="uk-UA"/>
        </w:rPr>
        <w:t>, натрію гідроксид, вода для ін’єкцій.</w:t>
      </w:r>
    </w:p>
    <w:p w14:paraId="3BC1B50A" w14:textId="77777777" w:rsidR="0013593A" w:rsidRPr="00F46AB0" w:rsidRDefault="0013593A" w:rsidP="0013593A">
      <w:pPr>
        <w:ind w:firstLine="425"/>
        <w:jc w:val="both"/>
        <w:rPr>
          <w:b/>
          <w:lang w:val="uk-UA"/>
        </w:rPr>
      </w:pPr>
      <w:r w:rsidRPr="00F46AB0">
        <w:rPr>
          <w:b/>
          <w:lang w:val="uk-UA"/>
        </w:rPr>
        <w:t>3. Фармацевтична форма</w:t>
      </w:r>
    </w:p>
    <w:p w14:paraId="3BC1B50B" w14:textId="77777777" w:rsidR="0013593A" w:rsidRPr="00F46AB0" w:rsidRDefault="0013593A" w:rsidP="0013593A">
      <w:pPr>
        <w:ind w:firstLine="425"/>
        <w:rPr>
          <w:lang w:val="uk-UA"/>
        </w:rPr>
      </w:pPr>
      <w:r w:rsidRPr="00F46AB0">
        <w:rPr>
          <w:lang w:val="uk-UA"/>
        </w:rPr>
        <w:t>Розчин для ін’єкцій.</w:t>
      </w:r>
    </w:p>
    <w:p w14:paraId="3BC1B50C" w14:textId="77777777" w:rsidR="0013593A" w:rsidRPr="00F46AB0" w:rsidRDefault="0013593A" w:rsidP="0013593A">
      <w:pPr>
        <w:ind w:firstLine="425"/>
        <w:rPr>
          <w:b/>
          <w:lang w:val="uk-UA"/>
        </w:rPr>
      </w:pPr>
      <w:r w:rsidRPr="00F46AB0">
        <w:rPr>
          <w:b/>
          <w:lang w:val="uk-UA"/>
        </w:rPr>
        <w:t xml:space="preserve">4. Фармакологічні властивості </w:t>
      </w:r>
    </w:p>
    <w:p w14:paraId="3BC1B50D" w14:textId="77777777" w:rsidR="0058188C" w:rsidRPr="00F46AB0" w:rsidRDefault="0058188C" w:rsidP="0058188C">
      <w:pPr>
        <w:ind w:firstLine="425"/>
        <w:jc w:val="both"/>
        <w:rPr>
          <w:b/>
          <w:i/>
          <w:snapToGrid w:val="0"/>
          <w:lang w:val="uk-UA"/>
        </w:rPr>
      </w:pPr>
      <w:r w:rsidRPr="00F46AB0">
        <w:rPr>
          <w:b/>
          <w:i/>
          <w:snapToGrid w:val="0"/>
          <w:szCs w:val="20"/>
          <w:lang w:val="uk-UA"/>
        </w:rPr>
        <w:t xml:space="preserve">ATC </w:t>
      </w:r>
      <w:proofErr w:type="spellStart"/>
      <w:r w:rsidRPr="00F46AB0">
        <w:rPr>
          <w:b/>
          <w:i/>
          <w:snapToGrid w:val="0"/>
          <w:szCs w:val="20"/>
          <w:lang w:val="uk-UA"/>
        </w:rPr>
        <w:t>vet</w:t>
      </w:r>
      <w:proofErr w:type="spellEnd"/>
      <w:r w:rsidRPr="00F46AB0">
        <w:rPr>
          <w:b/>
          <w:i/>
          <w:snapToGrid w:val="0"/>
          <w:szCs w:val="20"/>
          <w:lang w:val="uk-UA"/>
        </w:rPr>
        <w:t xml:space="preserve"> класифікаційний код QJ01 – антибактеріальні ветеринарні препарати для системного застосування. </w:t>
      </w:r>
      <w:r w:rsidRPr="00F46AB0">
        <w:rPr>
          <w:b/>
          <w:i/>
          <w:snapToGrid w:val="0"/>
          <w:szCs w:val="20"/>
          <w:shd w:val="clear" w:color="auto" w:fill="FFFFFF"/>
          <w:lang w:val="uk-UA"/>
        </w:rPr>
        <w:t>QJ01MA92</w:t>
      </w:r>
      <w:r w:rsidRPr="00F46AB0">
        <w:rPr>
          <w:b/>
          <w:i/>
          <w:snapToGrid w:val="0"/>
          <w:szCs w:val="20"/>
          <w:lang w:val="uk-UA"/>
        </w:rPr>
        <w:t xml:space="preserve"> – </w:t>
      </w:r>
      <w:proofErr w:type="spellStart"/>
      <w:r w:rsidRPr="00F46AB0">
        <w:rPr>
          <w:b/>
          <w:i/>
          <w:snapToGrid w:val="0"/>
          <w:szCs w:val="20"/>
          <w:lang w:val="uk-UA"/>
        </w:rPr>
        <w:t>Данофлоксацин</w:t>
      </w:r>
      <w:proofErr w:type="spellEnd"/>
      <w:r w:rsidRPr="00F46AB0">
        <w:rPr>
          <w:b/>
          <w:i/>
          <w:snapToGrid w:val="0"/>
          <w:szCs w:val="20"/>
          <w:lang w:val="uk-UA"/>
        </w:rPr>
        <w:t>.</w:t>
      </w:r>
    </w:p>
    <w:p w14:paraId="3BC1B50E" w14:textId="77777777" w:rsidR="0058188C" w:rsidRPr="00F46AB0" w:rsidRDefault="0058188C" w:rsidP="0058188C">
      <w:pPr>
        <w:shd w:val="clear" w:color="auto" w:fill="FFFFFF"/>
        <w:ind w:firstLine="425"/>
        <w:jc w:val="both"/>
        <w:rPr>
          <w:spacing w:val="-2"/>
          <w:lang w:val="uk-UA"/>
        </w:rPr>
      </w:pPr>
      <w:proofErr w:type="spellStart"/>
      <w:r w:rsidRPr="00F46AB0">
        <w:rPr>
          <w:lang w:val="uk-UA"/>
        </w:rPr>
        <w:t>Данофлоксацин</w:t>
      </w:r>
      <w:proofErr w:type="spellEnd"/>
      <w:r w:rsidRPr="00F46AB0">
        <w:rPr>
          <w:lang w:val="uk-UA"/>
        </w:rPr>
        <w:t xml:space="preserve"> – це антибіотик </w:t>
      </w:r>
      <w:r w:rsidRPr="00F46AB0">
        <w:rPr>
          <w:spacing w:val="-6"/>
          <w:lang w:val="uk-UA"/>
        </w:rPr>
        <w:t xml:space="preserve">широкого </w:t>
      </w:r>
      <w:r w:rsidRPr="00F46AB0">
        <w:rPr>
          <w:spacing w:val="-2"/>
          <w:lang w:val="uk-UA"/>
        </w:rPr>
        <w:t>спектру дії</w:t>
      </w:r>
      <w:r w:rsidRPr="00F46AB0">
        <w:rPr>
          <w:lang w:val="uk-UA"/>
        </w:rPr>
        <w:t xml:space="preserve">, що належить до групи </w:t>
      </w:r>
      <w:proofErr w:type="spellStart"/>
      <w:r w:rsidRPr="00F46AB0">
        <w:rPr>
          <w:lang w:val="uk-UA"/>
        </w:rPr>
        <w:t>фторхінолонів</w:t>
      </w:r>
      <w:proofErr w:type="spellEnd"/>
      <w:r w:rsidRPr="00F46AB0">
        <w:rPr>
          <w:lang w:val="uk-UA"/>
        </w:rPr>
        <w:t xml:space="preserve"> </w:t>
      </w:r>
      <w:r w:rsidRPr="00F46AB0">
        <w:rPr>
          <w:spacing w:val="-6"/>
          <w:lang w:val="uk-UA"/>
        </w:rPr>
        <w:t>3-го покоління</w:t>
      </w:r>
      <w:r w:rsidRPr="00F46AB0">
        <w:rPr>
          <w:spacing w:val="-2"/>
          <w:lang w:val="uk-UA"/>
        </w:rPr>
        <w:t xml:space="preserve">. </w:t>
      </w:r>
    </w:p>
    <w:p w14:paraId="3BC1B50F" w14:textId="77777777" w:rsidR="0058188C" w:rsidRPr="00F46AB0" w:rsidRDefault="0058188C" w:rsidP="0058188C">
      <w:pPr>
        <w:shd w:val="clear" w:color="auto" w:fill="FFFFFF"/>
        <w:ind w:firstLine="425"/>
        <w:jc w:val="both"/>
        <w:rPr>
          <w:spacing w:val="-2"/>
          <w:lang w:val="uk-UA"/>
        </w:rPr>
      </w:pPr>
      <w:r w:rsidRPr="00F46AB0">
        <w:rPr>
          <w:spacing w:val="-2"/>
          <w:lang w:val="uk-UA"/>
        </w:rPr>
        <w:t xml:space="preserve">Механізм дії </w:t>
      </w:r>
      <w:proofErr w:type="spellStart"/>
      <w:r w:rsidRPr="00F46AB0">
        <w:rPr>
          <w:spacing w:val="-2"/>
          <w:lang w:val="uk-UA"/>
        </w:rPr>
        <w:t>данофлоксацину</w:t>
      </w:r>
      <w:proofErr w:type="spellEnd"/>
      <w:r w:rsidRPr="00F46AB0">
        <w:rPr>
          <w:spacing w:val="-2"/>
          <w:lang w:val="uk-UA"/>
        </w:rPr>
        <w:t xml:space="preserve"> базується на деактивації бактеріального ферменту ДНК-</w:t>
      </w:r>
      <w:proofErr w:type="spellStart"/>
      <w:r w:rsidRPr="00F46AB0">
        <w:rPr>
          <w:spacing w:val="-2"/>
          <w:lang w:val="uk-UA"/>
        </w:rPr>
        <w:t>гірази</w:t>
      </w:r>
      <w:proofErr w:type="spellEnd"/>
      <w:r w:rsidRPr="00F46AB0">
        <w:rPr>
          <w:spacing w:val="-2"/>
          <w:lang w:val="uk-UA"/>
        </w:rPr>
        <w:t>, який необхідний для транскрипції бактеріальної ДНК.</w:t>
      </w:r>
    </w:p>
    <w:p w14:paraId="3BC1B510" w14:textId="77777777" w:rsidR="0058188C" w:rsidRPr="00F46AB0" w:rsidRDefault="0058188C" w:rsidP="0058188C">
      <w:pPr>
        <w:ind w:firstLine="425"/>
        <w:jc w:val="both"/>
        <w:rPr>
          <w:rFonts w:eastAsia="Calibri"/>
          <w:snapToGrid w:val="0"/>
          <w:lang w:val="uk-UA"/>
        </w:rPr>
      </w:pPr>
      <w:proofErr w:type="spellStart"/>
      <w:r w:rsidRPr="00F46AB0">
        <w:rPr>
          <w:rFonts w:eastAsia="Calibri"/>
          <w:snapToGrid w:val="0"/>
          <w:lang w:val="uk-UA"/>
        </w:rPr>
        <w:t>Данофлоксацин</w:t>
      </w:r>
      <w:proofErr w:type="spellEnd"/>
      <w:r w:rsidRPr="00F46AB0">
        <w:rPr>
          <w:rFonts w:eastAsia="Calibri"/>
          <w:snapToGrid w:val="0"/>
          <w:lang w:val="uk-UA"/>
        </w:rPr>
        <w:t xml:space="preserve"> </w:t>
      </w:r>
      <w:r w:rsidRPr="00F46AB0">
        <w:rPr>
          <w:spacing w:val="-2"/>
          <w:lang w:val="uk-UA"/>
        </w:rPr>
        <w:t>активний  щодо грампозитивних (</w:t>
      </w:r>
      <w:proofErr w:type="spellStart"/>
      <w:r w:rsidRPr="00F46AB0">
        <w:rPr>
          <w:i/>
          <w:spacing w:val="-2"/>
          <w:lang w:val="uk-UA"/>
        </w:rPr>
        <w:t>Staphylococcus</w:t>
      </w:r>
      <w:proofErr w:type="spellEnd"/>
      <w:r w:rsidRPr="00F46AB0">
        <w:rPr>
          <w:rFonts w:eastAsia="Calibri"/>
          <w:i/>
          <w:snapToGrid w:val="0"/>
          <w:lang w:val="uk-UA"/>
        </w:rPr>
        <w:t xml:space="preserve"> </w:t>
      </w:r>
      <w:proofErr w:type="spellStart"/>
      <w:r w:rsidRPr="00F46AB0">
        <w:rPr>
          <w:rFonts w:eastAsia="Calibri"/>
          <w:i/>
          <w:snapToGrid w:val="0"/>
          <w:lang w:val="uk-UA"/>
        </w:rPr>
        <w:t>aureus</w:t>
      </w:r>
      <w:proofErr w:type="spellEnd"/>
      <w:r w:rsidRPr="00F46AB0">
        <w:rPr>
          <w:rFonts w:eastAsia="Calibri"/>
          <w:i/>
          <w:snapToGrid w:val="0"/>
          <w:lang w:val="uk-UA"/>
        </w:rPr>
        <w:t xml:space="preserve">, </w:t>
      </w:r>
      <w:proofErr w:type="spellStart"/>
      <w:r w:rsidRPr="00F46AB0">
        <w:rPr>
          <w:i/>
          <w:iCs/>
          <w:spacing w:val="-4"/>
          <w:lang w:val="uk-UA"/>
        </w:rPr>
        <w:t>Streptococcus</w:t>
      </w:r>
      <w:proofErr w:type="spellEnd"/>
      <w:r w:rsidRPr="00F46AB0">
        <w:rPr>
          <w:i/>
          <w:iCs/>
          <w:spacing w:val="-4"/>
          <w:lang w:val="uk-UA"/>
        </w:rPr>
        <w:t xml:space="preserve"> </w:t>
      </w:r>
      <w:proofErr w:type="spellStart"/>
      <w:r w:rsidRPr="00F46AB0">
        <w:rPr>
          <w:i/>
          <w:iCs/>
          <w:spacing w:val="-4"/>
          <w:lang w:val="uk-UA"/>
        </w:rPr>
        <w:t>pyogenes</w:t>
      </w:r>
      <w:proofErr w:type="spellEnd"/>
      <w:r w:rsidRPr="00F46AB0">
        <w:rPr>
          <w:i/>
          <w:iCs/>
          <w:spacing w:val="-4"/>
          <w:lang w:val="uk-UA"/>
        </w:rPr>
        <w:t xml:space="preserve">, </w:t>
      </w:r>
      <w:proofErr w:type="spellStart"/>
      <w:r w:rsidRPr="00F46AB0">
        <w:rPr>
          <w:i/>
          <w:iCs/>
          <w:spacing w:val="-4"/>
          <w:lang w:val="uk-UA"/>
        </w:rPr>
        <w:t>Bacillus</w:t>
      </w:r>
      <w:proofErr w:type="spellEnd"/>
      <w:r w:rsidRPr="00F46AB0">
        <w:rPr>
          <w:i/>
          <w:iCs/>
          <w:spacing w:val="-4"/>
          <w:lang w:val="uk-UA"/>
        </w:rPr>
        <w:t xml:space="preserve"> </w:t>
      </w:r>
      <w:proofErr w:type="spellStart"/>
      <w:r w:rsidRPr="00F46AB0">
        <w:rPr>
          <w:i/>
          <w:iCs/>
          <w:spacing w:val="-4"/>
          <w:lang w:val="uk-UA"/>
        </w:rPr>
        <w:t>spp</w:t>
      </w:r>
      <w:proofErr w:type="spellEnd"/>
      <w:r w:rsidRPr="00F46AB0">
        <w:rPr>
          <w:i/>
          <w:iCs/>
          <w:spacing w:val="-4"/>
          <w:lang w:val="uk-UA"/>
        </w:rPr>
        <w:t xml:space="preserve">, </w:t>
      </w:r>
      <w:proofErr w:type="spellStart"/>
      <w:r w:rsidRPr="00F46AB0">
        <w:rPr>
          <w:i/>
          <w:iCs/>
          <w:spacing w:val="-4"/>
          <w:lang w:val="uk-UA"/>
        </w:rPr>
        <w:t>Enterococcus</w:t>
      </w:r>
      <w:proofErr w:type="spellEnd"/>
      <w:r w:rsidRPr="00F46AB0">
        <w:rPr>
          <w:i/>
          <w:iCs/>
          <w:spacing w:val="-4"/>
          <w:lang w:val="uk-UA"/>
        </w:rPr>
        <w:t xml:space="preserve"> </w:t>
      </w:r>
      <w:proofErr w:type="spellStart"/>
      <w:r w:rsidRPr="00F46AB0">
        <w:rPr>
          <w:i/>
          <w:iCs/>
          <w:spacing w:val="-4"/>
          <w:lang w:val="uk-UA"/>
        </w:rPr>
        <w:t>spp</w:t>
      </w:r>
      <w:proofErr w:type="spellEnd"/>
      <w:r w:rsidRPr="00F46AB0">
        <w:rPr>
          <w:i/>
          <w:iCs/>
          <w:spacing w:val="-4"/>
          <w:lang w:val="uk-UA"/>
        </w:rPr>
        <w:t>.</w:t>
      </w:r>
      <w:r w:rsidRPr="00F46AB0">
        <w:rPr>
          <w:spacing w:val="-4"/>
          <w:lang w:val="uk-UA"/>
        </w:rPr>
        <w:t xml:space="preserve">) </w:t>
      </w:r>
      <w:r w:rsidRPr="00F46AB0">
        <w:rPr>
          <w:spacing w:val="-2"/>
          <w:lang w:val="uk-UA"/>
        </w:rPr>
        <w:t>і грамнегативних (</w:t>
      </w:r>
      <w:proofErr w:type="spellStart"/>
      <w:r w:rsidRPr="00F46AB0">
        <w:rPr>
          <w:i/>
          <w:iCs/>
          <w:spacing w:val="-4"/>
          <w:lang w:val="uk-UA"/>
        </w:rPr>
        <w:t>Esherichia</w:t>
      </w:r>
      <w:proofErr w:type="spellEnd"/>
      <w:r w:rsidRPr="00F46AB0">
        <w:rPr>
          <w:i/>
          <w:iCs/>
          <w:spacing w:val="-4"/>
          <w:lang w:val="uk-UA"/>
        </w:rPr>
        <w:t xml:space="preserve"> </w:t>
      </w:r>
      <w:proofErr w:type="spellStart"/>
      <w:r w:rsidRPr="00F46AB0">
        <w:rPr>
          <w:i/>
          <w:iCs/>
          <w:spacing w:val="-4"/>
          <w:lang w:val="uk-UA"/>
        </w:rPr>
        <w:t>colі</w:t>
      </w:r>
      <w:proofErr w:type="spellEnd"/>
      <w:r w:rsidRPr="00F46AB0">
        <w:rPr>
          <w:spacing w:val="-4"/>
          <w:lang w:val="uk-UA"/>
        </w:rPr>
        <w:t xml:space="preserve">, </w:t>
      </w:r>
      <w:proofErr w:type="spellStart"/>
      <w:r w:rsidRPr="00F46AB0">
        <w:rPr>
          <w:rFonts w:eastAsia="Calibri"/>
          <w:i/>
          <w:snapToGrid w:val="0"/>
          <w:lang w:val="uk-UA"/>
        </w:rPr>
        <w:t>Enterobacteriaceae</w:t>
      </w:r>
      <w:proofErr w:type="spellEnd"/>
      <w:r w:rsidRPr="00F46AB0">
        <w:rPr>
          <w:rFonts w:eastAsia="Calibri"/>
          <w:i/>
          <w:snapToGrid w:val="0"/>
          <w:lang w:val="uk-UA"/>
        </w:rPr>
        <w:t xml:space="preserve"> </w:t>
      </w:r>
      <w:proofErr w:type="spellStart"/>
      <w:r w:rsidRPr="00F46AB0">
        <w:rPr>
          <w:rFonts w:eastAsia="Calibri"/>
          <w:i/>
          <w:snapToGrid w:val="0"/>
          <w:lang w:val="uk-UA"/>
        </w:rPr>
        <w:t>spp</w:t>
      </w:r>
      <w:proofErr w:type="spellEnd"/>
      <w:r w:rsidRPr="00F46AB0">
        <w:rPr>
          <w:rFonts w:eastAsia="Calibri"/>
          <w:i/>
          <w:snapToGrid w:val="0"/>
          <w:lang w:val="uk-UA"/>
        </w:rPr>
        <w:t xml:space="preserve">., </w:t>
      </w:r>
      <w:proofErr w:type="spellStart"/>
      <w:r w:rsidRPr="00F46AB0">
        <w:rPr>
          <w:rFonts w:eastAsia="Calibri"/>
          <w:i/>
          <w:snapToGrid w:val="0"/>
          <w:lang w:val="uk-UA"/>
        </w:rPr>
        <w:t>Pasteurella</w:t>
      </w:r>
      <w:proofErr w:type="spellEnd"/>
      <w:r w:rsidRPr="00F46AB0">
        <w:rPr>
          <w:rFonts w:eastAsia="Calibri"/>
          <w:i/>
          <w:snapToGrid w:val="0"/>
          <w:lang w:val="uk-UA"/>
        </w:rPr>
        <w:t xml:space="preserve"> </w:t>
      </w:r>
      <w:proofErr w:type="spellStart"/>
      <w:r w:rsidRPr="00F46AB0">
        <w:rPr>
          <w:rFonts w:eastAsia="Calibri"/>
          <w:i/>
          <w:snapToGrid w:val="0"/>
          <w:lang w:val="uk-UA"/>
        </w:rPr>
        <w:t>spp</w:t>
      </w:r>
      <w:proofErr w:type="spellEnd"/>
      <w:r w:rsidRPr="00F46AB0">
        <w:rPr>
          <w:rFonts w:eastAsia="Calibri"/>
          <w:i/>
          <w:snapToGrid w:val="0"/>
          <w:lang w:val="uk-UA"/>
        </w:rPr>
        <w:t xml:space="preserve">., </w:t>
      </w:r>
      <w:proofErr w:type="spellStart"/>
      <w:r w:rsidRPr="00F46AB0">
        <w:rPr>
          <w:rFonts w:eastAsia="Calibri"/>
          <w:i/>
          <w:snapToGrid w:val="0"/>
          <w:lang w:val="uk-UA"/>
        </w:rPr>
        <w:t>Haemophilus</w:t>
      </w:r>
      <w:proofErr w:type="spellEnd"/>
      <w:r w:rsidRPr="00F46AB0">
        <w:rPr>
          <w:rFonts w:eastAsia="Calibri"/>
          <w:i/>
          <w:snapToGrid w:val="0"/>
          <w:lang w:val="uk-UA"/>
        </w:rPr>
        <w:t xml:space="preserve"> </w:t>
      </w:r>
      <w:proofErr w:type="spellStart"/>
      <w:r w:rsidRPr="00F46AB0">
        <w:rPr>
          <w:rFonts w:eastAsia="Calibri"/>
          <w:i/>
          <w:snapToGrid w:val="0"/>
          <w:lang w:val="uk-UA"/>
        </w:rPr>
        <w:t>spp</w:t>
      </w:r>
      <w:proofErr w:type="spellEnd"/>
      <w:r w:rsidRPr="00F46AB0">
        <w:rPr>
          <w:rFonts w:eastAsia="Calibri"/>
          <w:i/>
          <w:snapToGrid w:val="0"/>
          <w:lang w:val="uk-UA"/>
        </w:rPr>
        <w:t xml:space="preserve">., </w:t>
      </w:r>
      <w:proofErr w:type="spellStart"/>
      <w:r w:rsidRPr="00F46AB0">
        <w:rPr>
          <w:rFonts w:eastAsia="Calibri"/>
          <w:i/>
          <w:snapToGrid w:val="0"/>
          <w:lang w:val="uk-UA"/>
        </w:rPr>
        <w:t>Actinobacillus</w:t>
      </w:r>
      <w:proofErr w:type="spellEnd"/>
      <w:r w:rsidRPr="00F46AB0">
        <w:rPr>
          <w:rFonts w:eastAsia="Calibri"/>
          <w:i/>
          <w:snapToGrid w:val="0"/>
          <w:lang w:val="uk-UA"/>
        </w:rPr>
        <w:t xml:space="preserve"> </w:t>
      </w:r>
      <w:proofErr w:type="spellStart"/>
      <w:r w:rsidRPr="00F46AB0">
        <w:rPr>
          <w:rFonts w:eastAsia="Calibri"/>
          <w:i/>
          <w:snapToGrid w:val="0"/>
          <w:lang w:val="uk-UA"/>
        </w:rPr>
        <w:t>spp</w:t>
      </w:r>
      <w:proofErr w:type="spellEnd"/>
      <w:r w:rsidRPr="00F46AB0">
        <w:rPr>
          <w:rFonts w:eastAsia="Calibri"/>
          <w:i/>
          <w:snapToGrid w:val="0"/>
          <w:lang w:val="uk-UA"/>
        </w:rPr>
        <w:t xml:space="preserve">., </w:t>
      </w:r>
      <w:proofErr w:type="spellStart"/>
      <w:r w:rsidRPr="00F46AB0">
        <w:rPr>
          <w:rFonts w:eastAsia="Calibri"/>
          <w:i/>
          <w:snapToGrid w:val="0"/>
          <w:lang w:val="uk-UA"/>
        </w:rPr>
        <w:t>Bordetella</w:t>
      </w:r>
      <w:proofErr w:type="spellEnd"/>
      <w:r w:rsidRPr="00F46AB0">
        <w:rPr>
          <w:rFonts w:eastAsia="Calibri"/>
          <w:i/>
          <w:snapToGrid w:val="0"/>
          <w:lang w:val="uk-UA"/>
        </w:rPr>
        <w:t xml:space="preserve"> </w:t>
      </w:r>
      <w:proofErr w:type="spellStart"/>
      <w:r w:rsidRPr="00F46AB0">
        <w:rPr>
          <w:rFonts w:eastAsia="Calibri"/>
          <w:i/>
          <w:snapToGrid w:val="0"/>
          <w:lang w:val="uk-UA"/>
        </w:rPr>
        <w:t>bronchis</w:t>
      </w:r>
      <w:proofErr w:type="spellEnd"/>
      <w:r w:rsidRPr="00F46AB0">
        <w:rPr>
          <w:rFonts w:eastAsia="Calibri"/>
          <w:i/>
          <w:snapToGrid w:val="0"/>
          <w:lang w:val="en-US"/>
        </w:rPr>
        <w:t>ep</w:t>
      </w:r>
      <w:proofErr w:type="spellStart"/>
      <w:r w:rsidRPr="00F46AB0">
        <w:rPr>
          <w:rFonts w:eastAsia="Calibri"/>
          <w:i/>
          <w:snapToGrid w:val="0"/>
          <w:lang w:val="uk-UA"/>
        </w:rPr>
        <w:t>tica</w:t>
      </w:r>
      <w:proofErr w:type="spellEnd"/>
      <w:r w:rsidRPr="00F46AB0">
        <w:rPr>
          <w:rFonts w:eastAsia="Calibri"/>
          <w:i/>
          <w:snapToGrid w:val="0"/>
          <w:lang w:val="uk-UA"/>
        </w:rPr>
        <w:t xml:space="preserve">, </w:t>
      </w:r>
      <w:proofErr w:type="spellStart"/>
      <w:r w:rsidRPr="00F46AB0">
        <w:rPr>
          <w:i/>
          <w:lang w:val="uk-UA"/>
        </w:rPr>
        <w:t>Proteus</w:t>
      </w:r>
      <w:proofErr w:type="spellEnd"/>
      <w:r w:rsidRPr="00F46AB0">
        <w:rPr>
          <w:i/>
          <w:lang w:val="uk-UA"/>
        </w:rPr>
        <w:t xml:space="preserve"> </w:t>
      </w:r>
      <w:proofErr w:type="spellStart"/>
      <w:r w:rsidRPr="00F46AB0">
        <w:rPr>
          <w:i/>
          <w:lang w:val="uk-UA"/>
        </w:rPr>
        <w:t>spp</w:t>
      </w:r>
      <w:proofErr w:type="spellEnd"/>
      <w:r w:rsidRPr="00F46AB0">
        <w:rPr>
          <w:lang w:val="uk-UA"/>
        </w:rPr>
        <w:t>.</w:t>
      </w:r>
      <w:r w:rsidRPr="00F46AB0">
        <w:rPr>
          <w:spacing w:val="-4"/>
          <w:lang w:val="uk-UA"/>
        </w:rPr>
        <w:t xml:space="preserve">, </w:t>
      </w:r>
      <w:proofErr w:type="spellStart"/>
      <w:r w:rsidRPr="00F46AB0">
        <w:rPr>
          <w:rFonts w:eastAsia="Calibri"/>
          <w:i/>
          <w:snapToGrid w:val="0"/>
          <w:lang w:val="uk-UA"/>
        </w:rPr>
        <w:t>Pseudomonas</w:t>
      </w:r>
      <w:proofErr w:type="spellEnd"/>
      <w:r w:rsidRPr="00F46AB0">
        <w:rPr>
          <w:rFonts w:eastAsia="Calibri"/>
          <w:i/>
          <w:snapToGrid w:val="0"/>
          <w:lang w:val="uk-UA"/>
        </w:rPr>
        <w:t xml:space="preserve"> </w:t>
      </w:r>
      <w:proofErr w:type="spellStart"/>
      <w:r w:rsidRPr="00F46AB0">
        <w:rPr>
          <w:rFonts w:eastAsia="Calibri"/>
          <w:i/>
          <w:snapToGrid w:val="0"/>
          <w:lang w:val="uk-UA"/>
        </w:rPr>
        <w:t>aeruginosa</w:t>
      </w:r>
      <w:proofErr w:type="spellEnd"/>
      <w:r w:rsidRPr="00F46AB0">
        <w:rPr>
          <w:rFonts w:eastAsia="Calibri"/>
          <w:i/>
          <w:snapToGrid w:val="0"/>
          <w:lang w:val="uk-UA"/>
        </w:rPr>
        <w:t xml:space="preserve">, </w:t>
      </w:r>
      <w:proofErr w:type="spellStart"/>
      <w:r w:rsidRPr="00F46AB0">
        <w:rPr>
          <w:rFonts w:eastAsia="Calibri"/>
          <w:i/>
          <w:snapToGrid w:val="0"/>
          <w:lang w:val="uk-UA"/>
        </w:rPr>
        <w:t>Salmonella</w:t>
      </w:r>
      <w:proofErr w:type="spellEnd"/>
      <w:r w:rsidRPr="00F46AB0">
        <w:rPr>
          <w:rFonts w:eastAsia="Calibri"/>
          <w:i/>
          <w:snapToGrid w:val="0"/>
          <w:lang w:val="uk-UA"/>
        </w:rPr>
        <w:t xml:space="preserve"> </w:t>
      </w:r>
      <w:proofErr w:type="spellStart"/>
      <w:r w:rsidRPr="00F46AB0">
        <w:rPr>
          <w:rFonts w:eastAsia="Calibri"/>
          <w:i/>
          <w:snapToGrid w:val="0"/>
          <w:lang w:val="uk-UA"/>
        </w:rPr>
        <w:t>spp</w:t>
      </w:r>
      <w:proofErr w:type="spellEnd"/>
      <w:r w:rsidRPr="00F46AB0">
        <w:rPr>
          <w:rFonts w:eastAsia="Calibri"/>
          <w:i/>
          <w:snapToGrid w:val="0"/>
          <w:lang w:val="uk-UA"/>
        </w:rPr>
        <w:t xml:space="preserve">., </w:t>
      </w:r>
      <w:r w:rsidRPr="00F46AB0">
        <w:rPr>
          <w:rFonts w:eastAsia="Calibri"/>
          <w:i/>
          <w:snapToGrid w:val="0"/>
          <w:lang w:val="en-US"/>
        </w:rPr>
        <w:t>Klebsiella</w:t>
      </w:r>
      <w:r w:rsidRPr="00F46AB0">
        <w:rPr>
          <w:rFonts w:eastAsia="Calibri"/>
          <w:i/>
          <w:snapToGrid w:val="0"/>
          <w:lang w:val="uk-UA"/>
        </w:rPr>
        <w:t xml:space="preserve"> </w:t>
      </w:r>
      <w:proofErr w:type="spellStart"/>
      <w:r w:rsidRPr="00F46AB0">
        <w:rPr>
          <w:rFonts w:eastAsia="Calibri"/>
          <w:i/>
          <w:snapToGrid w:val="0"/>
          <w:lang w:val="en-US"/>
        </w:rPr>
        <w:t>spp</w:t>
      </w:r>
      <w:proofErr w:type="spellEnd"/>
      <w:r w:rsidRPr="00F46AB0">
        <w:rPr>
          <w:rFonts w:eastAsia="Calibri"/>
          <w:i/>
          <w:snapToGrid w:val="0"/>
          <w:lang w:val="uk-UA"/>
        </w:rPr>
        <w:t>.</w:t>
      </w:r>
      <w:r w:rsidRPr="00F46AB0">
        <w:rPr>
          <w:rFonts w:eastAsia="Calibri"/>
          <w:snapToGrid w:val="0"/>
          <w:lang w:val="uk-UA"/>
        </w:rPr>
        <w:t xml:space="preserve">) </w:t>
      </w:r>
      <w:r w:rsidRPr="00F46AB0">
        <w:rPr>
          <w:spacing w:val="-2"/>
          <w:lang w:val="uk-UA"/>
        </w:rPr>
        <w:t>мікроорганізмів</w:t>
      </w:r>
      <w:r w:rsidRPr="00F46AB0">
        <w:rPr>
          <w:rFonts w:eastAsia="Calibri"/>
          <w:snapToGrid w:val="0"/>
          <w:lang w:val="uk-UA"/>
        </w:rPr>
        <w:t xml:space="preserve">, а також проти </w:t>
      </w:r>
      <w:proofErr w:type="spellStart"/>
      <w:r w:rsidRPr="00F46AB0">
        <w:rPr>
          <w:rFonts w:eastAsia="Calibri"/>
          <w:snapToGrid w:val="0"/>
          <w:lang w:val="uk-UA"/>
        </w:rPr>
        <w:t>мікоплазм</w:t>
      </w:r>
      <w:proofErr w:type="spellEnd"/>
      <w:r w:rsidRPr="00F46AB0">
        <w:rPr>
          <w:rFonts w:eastAsia="Calibri"/>
          <w:snapToGrid w:val="0"/>
          <w:lang w:val="uk-UA"/>
        </w:rPr>
        <w:t xml:space="preserve"> (</w:t>
      </w:r>
      <w:proofErr w:type="spellStart"/>
      <w:r w:rsidRPr="00F46AB0">
        <w:rPr>
          <w:rFonts w:eastAsia="Calibri"/>
          <w:i/>
          <w:snapToGrid w:val="0"/>
          <w:lang w:val="uk-UA"/>
        </w:rPr>
        <w:t>Mycoplasma</w:t>
      </w:r>
      <w:proofErr w:type="spellEnd"/>
      <w:r w:rsidRPr="00F46AB0">
        <w:rPr>
          <w:rFonts w:eastAsia="Calibri"/>
          <w:i/>
          <w:snapToGrid w:val="0"/>
          <w:lang w:val="uk-UA"/>
        </w:rPr>
        <w:t xml:space="preserve"> </w:t>
      </w:r>
      <w:proofErr w:type="spellStart"/>
      <w:r w:rsidRPr="00F46AB0">
        <w:rPr>
          <w:rFonts w:eastAsia="Calibri"/>
          <w:i/>
          <w:snapToGrid w:val="0"/>
          <w:lang w:val="en-US"/>
        </w:rPr>
        <w:t>hyopneumoniae</w:t>
      </w:r>
      <w:proofErr w:type="spellEnd"/>
      <w:r w:rsidRPr="00F46AB0">
        <w:rPr>
          <w:rFonts w:eastAsia="Calibri"/>
          <w:i/>
          <w:snapToGrid w:val="0"/>
          <w:lang w:val="uk-UA"/>
        </w:rPr>
        <w:t xml:space="preserve">, </w:t>
      </w:r>
      <w:r w:rsidRPr="00F46AB0">
        <w:rPr>
          <w:rFonts w:eastAsia="Calibri"/>
          <w:i/>
          <w:snapToGrid w:val="0"/>
          <w:lang w:val="en-US"/>
        </w:rPr>
        <w:t>M</w:t>
      </w:r>
      <w:r w:rsidRPr="00F46AB0">
        <w:rPr>
          <w:rFonts w:eastAsia="Calibri"/>
          <w:i/>
          <w:snapToGrid w:val="0"/>
          <w:lang w:val="uk-UA"/>
        </w:rPr>
        <w:t xml:space="preserve">. </w:t>
      </w:r>
      <w:proofErr w:type="spellStart"/>
      <w:r w:rsidRPr="00F46AB0">
        <w:rPr>
          <w:rFonts w:eastAsia="Calibri"/>
          <w:i/>
          <w:snapToGrid w:val="0"/>
          <w:lang w:val="en-US"/>
        </w:rPr>
        <w:t>bovis</w:t>
      </w:r>
      <w:proofErr w:type="spellEnd"/>
      <w:r w:rsidRPr="00F46AB0">
        <w:rPr>
          <w:rFonts w:eastAsia="Calibri"/>
          <w:snapToGrid w:val="0"/>
          <w:lang w:val="uk-UA"/>
        </w:rPr>
        <w:t>).</w:t>
      </w:r>
    </w:p>
    <w:p w14:paraId="3BC1B511" w14:textId="77777777" w:rsidR="0058188C" w:rsidRPr="00F46AB0" w:rsidRDefault="0058188C" w:rsidP="0058188C">
      <w:pPr>
        <w:ind w:firstLine="425"/>
        <w:jc w:val="both"/>
        <w:rPr>
          <w:rFonts w:eastAsia="Calibri"/>
          <w:snapToGrid w:val="0"/>
          <w:lang w:val="uk-UA"/>
        </w:rPr>
      </w:pPr>
      <w:r w:rsidRPr="00F46AB0">
        <w:rPr>
          <w:rFonts w:eastAsia="Calibri"/>
          <w:snapToGrid w:val="0"/>
          <w:lang w:val="uk-UA"/>
        </w:rPr>
        <w:t xml:space="preserve">При парентеральному введенні терапевтична концентрація </w:t>
      </w:r>
      <w:proofErr w:type="spellStart"/>
      <w:r w:rsidRPr="00F46AB0">
        <w:rPr>
          <w:rFonts w:eastAsia="Calibri"/>
          <w:snapToGrid w:val="0"/>
          <w:lang w:val="uk-UA"/>
        </w:rPr>
        <w:t>данофлоксацину</w:t>
      </w:r>
      <w:proofErr w:type="spellEnd"/>
      <w:r w:rsidRPr="00F46AB0">
        <w:rPr>
          <w:rFonts w:eastAsia="Calibri"/>
          <w:snapToGrid w:val="0"/>
          <w:lang w:val="uk-UA"/>
        </w:rPr>
        <w:t xml:space="preserve"> підтримується впродовж 24-х годин. </w:t>
      </w:r>
    </w:p>
    <w:p w14:paraId="3BC1B512" w14:textId="77777777" w:rsidR="0058188C" w:rsidRPr="00F46AB0" w:rsidRDefault="0058188C" w:rsidP="0058188C">
      <w:pPr>
        <w:ind w:firstLine="425"/>
        <w:jc w:val="both"/>
        <w:rPr>
          <w:rFonts w:eastAsia="Calibri"/>
          <w:snapToGrid w:val="0"/>
          <w:lang w:val="uk-UA"/>
        </w:rPr>
      </w:pPr>
      <w:proofErr w:type="spellStart"/>
      <w:r w:rsidRPr="00F46AB0">
        <w:rPr>
          <w:rFonts w:eastAsia="Calibri"/>
          <w:snapToGrid w:val="0"/>
          <w:lang w:val="uk-UA"/>
        </w:rPr>
        <w:t>Данофлоксацин</w:t>
      </w:r>
      <w:proofErr w:type="spellEnd"/>
      <w:r w:rsidRPr="00F46AB0">
        <w:rPr>
          <w:rFonts w:eastAsia="Calibri"/>
          <w:snapToGrid w:val="0"/>
          <w:lang w:val="uk-UA"/>
        </w:rPr>
        <w:t xml:space="preserve"> швидко всмоктується з місця ін’єкції та розподіляється в тканинах організму тварин. Так, його концентрації в тканинах та органах значно вищі, ніж у сироватці крові. Найвища концентрація спостерігається в легенях, печінці, нирках, кишечнику та лімфатичній тканині. </w:t>
      </w:r>
    </w:p>
    <w:p w14:paraId="3BC1B513" w14:textId="77777777" w:rsidR="0058188C" w:rsidRPr="00F46AB0" w:rsidRDefault="0058188C" w:rsidP="0058188C">
      <w:pPr>
        <w:ind w:firstLine="425"/>
        <w:jc w:val="both"/>
        <w:rPr>
          <w:rFonts w:eastAsia="Calibri"/>
          <w:snapToGrid w:val="0"/>
          <w:lang w:val="uk-UA"/>
        </w:rPr>
      </w:pPr>
      <w:r w:rsidRPr="00F46AB0">
        <w:rPr>
          <w:rFonts w:eastAsia="Calibri"/>
          <w:snapToGrid w:val="0"/>
          <w:lang w:val="uk-UA"/>
        </w:rPr>
        <w:t xml:space="preserve">Велика рогата худоба: пік концентрації </w:t>
      </w:r>
      <w:proofErr w:type="spellStart"/>
      <w:r w:rsidRPr="00F46AB0">
        <w:rPr>
          <w:rFonts w:eastAsia="Calibri"/>
          <w:snapToGrid w:val="0"/>
          <w:lang w:val="uk-UA"/>
        </w:rPr>
        <w:t>данофлоксацину</w:t>
      </w:r>
      <w:proofErr w:type="spellEnd"/>
      <w:r w:rsidRPr="00F46AB0">
        <w:rPr>
          <w:rFonts w:eastAsia="Calibri"/>
          <w:snapToGrid w:val="0"/>
          <w:lang w:val="uk-UA"/>
        </w:rPr>
        <w:t xml:space="preserve"> у плазмі та тканинах після підшкірної ін'єкції реєструється впродовж однієї години після введення препарату. Відношення концентрації </w:t>
      </w:r>
      <w:proofErr w:type="spellStart"/>
      <w:r w:rsidRPr="00F46AB0">
        <w:rPr>
          <w:rFonts w:eastAsia="Calibri"/>
          <w:snapToGrid w:val="0"/>
          <w:lang w:val="uk-UA"/>
        </w:rPr>
        <w:t>данофлоксацину</w:t>
      </w:r>
      <w:proofErr w:type="spellEnd"/>
      <w:r w:rsidRPr="00F46AB0">
        <w:rPr>
          <w:rFonts w:eastAsia="Calibri"/>
          <w:snapToGrid w:val="0"/>
          <w:lang w:val="uk-UA"/>
        </w:rPr>
        <w:t xml:space="preserve"> у тканинах легень до концентрації в плазмі крові – 4:1. </w:t>
      </w:r>
    </w:p>
    <w:p w14:paraId="3BC1B514" w14:textId="77777777" w:rsidR="0058188C" w:rsidRPr="00F46AB0" w:rsidRDefault="0058188C" w:rsidP="0058188C">
      <w:pPr>
        <w:ind w:firstLine="425"/>
        <w:jc w:val="both"/>
        <w:rPr>
          <w:rFonts w:eastAsia="Calibri"/>
          <w:snapToGrid w:val="0"/>
          <w:lang w:val="uk-UA"/>
        </w:rPr>
      </w:pPr>
      <w:r w:rsidRPr="00F46AB0">
        <w:rPr>
          <w:rFonts w:eastAsia="Calibri"/>
          <w:snapToGrid w:val="0"/>
          <w:lang w:val="uk-UA"/>
        </w:rPr>
        <w:t xml:space="preserve">Свині: пік концентрації </w:t>
      </w:r>
      <w:proofErr w:type="spellStart"/>
      <w:r w:rsidRPr="00F46AB0">
        <w:rPr>
          <w:rFonts w:eastAsia="Calibri"/>
          <w:snapToGrid w:val="0"/>
          <w:lang w:val="uk-UA"/>
        </w:rPr>
        <w:t>данофлоксацину</w:t>
      </w:r>
      <w:proofErr w:type="spellEnd"/>
      <w:r w:rsidRPr="00F46AB0">
        <w:rPr>
          <w:rFonts w:eastAsia="Calibri"/>
          <w:snapToGrid w:val="0"/>
          <w:lang w:val="uk-UA"/>
        </w:rPr>
        <w:t xml:space="preserve"> у плазмі крові після </w:t>
      </w:r>
      <w:proofErr w:type="spellStart"/>
      <w:r w:rsidRPr="00F46AB0">
        <w:rPr>
          <w:rFonts w:eastAsia="Calibri"/>
          <w:snapToGrid w:val="0"/>
          <w:lang w:val="uk-UA"/>
        </w:rPr>
        <w:t>внутрішньом’язової</w:t>
      </w:r>
      <w:proofErr w:type="spellEnd"/>
      <w:r w:rsidRPr="00F46AB0">
        <w:rPr>
          <w:rFonts w:eastAsia="Calibri"/>
          <w:snapToGrid w:val="0"/>
          <w:lang w:val="uk-UA"/>
        </w:rPr>
        <w:t xml:space="preserve"> ін'єкції реєструється впродовж однієї години після введення препарату. </w:t>
      </w:r>
      <w:proofErr w:type="spellStart"/>
      <w:r w:rsidRPr="00F46AB0">
        <w:rPr>
          <w:rFonts w:eastAsia="Calibri"/>
          <w:snapToGrid w:val="0"/>
          <w:lang w:val="uk-UA"/>
        </w:rPr>
        <w:t>C</w:t>
      </w:r>
      <w:r w:rsidRPr="00F46AB0">
        <w:rPr>
          <w:rFonts w:eastAsia="Calibri"/>
          <w:snapToGrid w:val="0"/>
          <w:vertAlign w:val="subscript"/>
          <w:lang w:val="uk-UA"/>
        </w:rPr>
        <w:t>max</w:t>
      </w:r>
      <w:proofErr w:type="spellEnd"/>
      <w:r w:rsidRPr="00F46AB0">
        <w:rPr>
          <w:rFonts w:eastAsia="Calibri"/>
          <w:snapToGrid w:val="0"/>
          <w:lang w:val="uk-UA"/>
        </w:rPr>
        <w:t xml:space="preserve"> </w:t>
      </w:r>
      <w:proofErr w:type="spellStart"/>
      <w:r w:rsidRPr="00F46AB0">
        <w:rPr>
          <w:rFonts w:eastAsia="Calibri"/>
          <w:snapToGrid w:val="0"/>
          <w:lang w:val="uk-UA"/>
        </w:rPr>
        <w:t>данофлоксацину</w:t>
      </w:r>
      <w:proofErr w:type="spellEnd"/>
      <w:r w:rsidRPr="00F46AB0">
        <w:rPr>
          <w:rFonts w:eastAsia="Calibri"/>
          <w:snapToGrid w:val="0"/>
          <w:lang w:val="uk-UA"/>
        </w:rPr>
        <w:t xml:space="preserve"> в плазмі крові становить 0,6 </w:t>
      </w:r>
      <w:proofErr w:type="spellStart"/>
      <w:r w:rsidRPr="00F46AB0">
        <w:rPr>
          <w:rFonts w:eastAsia="Calibri"/>
          <w:snapToGrid w:val="0"/>
          <w:lang w:val="uk-UA"/>
        </w:rPr>
        <w:t>мкг</w:t>
      </w:r>
      <w:proofErr w:type="spellEnd"/>
      <w:r w:rsidRPr="00F46AB0">
        <w:rPr>
          <w:rFonts w:eastAsia="Calibri"/>
          <w:snapToGrid w:val="0"/>
          <w:lang w:val="uk-UA"/>
        </w:rPr>
        <w:t xml:space="preserve">/мл, а </w:t>
      </w:r>
      <w:proofErr w:type="spellStart"/>
      <w:r w:rsidRPr="00F46AB0">
        <w:rPr>
          <w:rFonts w:eastAsia="Calibri"/>
          <w:snapToGrid w:val="0"/>
          <w:lang w:val="uk-UA"/>
        </w:rPr>
        <w:t>C</w:t>
      </w:r>
      <w:r w:rsidRPr="00F46AB0">
        <w:rPr>
          <w:rFonts w:eastAsia="Calibri"/>
          <w:snapToGrid w:val="0"/>
          <w:vertAlign w:val="subscript"/>
          <w:lang w:val="uk-UA"/>
        </w:rPr>
        <w:t>max</w:t>
      </w:r>
      <w:proofErr w:type="spellEnd"/>
      <w:r w:rsidRPr="00F46AB0">
        <w:rPr>
          <w:rFonts w:eastAsia="Calibri"/>
          <w:snapToGrid w:val="0"/>
          <w:lang w:val="uk-UA"/>
        </w:rPr>
        <w:t xml:space="preserve"> </w:t>
      </w:r>
      <w:proofErr w:type="spellStart"/>
      <w:r w:rsidRPr="00F46AB0">
        <w:rPr>
          <w:rFonts w:eastAsia="Calibri"/>
          <w:snapToGrid w:val="0"/>
          <w:lang w:val="uk-UA"/>
        </w:rPr>
        <w:t>данофлоксацину</w:t>
      </w:r>
      <w:proofErr w:type="spellEnd"/>
      <w:r w:rsidRPr="00F46AB0">
        <w:rPr>
          <w:rFonts w:eastAsia="Calibri"/>
          <w:snapToGrid w:val="0"/>
          <w:lang w:val="uk-UA"/>
        </w:rPr>
        <w:t xml:space="preserve"> у тканинах легень – 1,68 </w:t>
      </w:r>
      <w:proofErr w:type="spellStart"/>
      <w:r w:rsidRPr="00F46AB0">
        <w:rPr>
          <w:rFonts w:eastAsia="Calibri"/>
          <w:snapToGrid w:val="0"/>
          <w:lang w:val="uk-UA"/>
        </w:rPr>
        <w:t>мкг</w:t>
      </w:r>
      <w:proofErr w:type="spellEnd"/>
      <w:r w:rsidRPr="00F46AB0">
        <w:rPr>
          <w:rFonts w:eastAsia="Calibri"/>
          <w:snapToGrid w:val="0"/>
          <w:lang w:val="uk-UA"/>
        </w:rPr>
        <w:t xml:space="preserve">/г. Відношення концентрації </w:t>
      </w:r>
      <w:proofErr w:type="spellStart"/>
      <w:r w:rsidRPr="00F46AB0">
        <w:rPr>
          <w:rFonts w:eastAsia="Calibri"/>
          <w:snapToGrid w:val="0"/>
          <w:lang w:val="uk-UA"/>
        </w:rPr>
        <w:t>данофлоксацину</w:t>
      </w:r>
      <w:proofErr w:type="spellEnd"/>
      <w:r w:rsidRPr="00F46AB0">
        <w:rPr>
          <w:rFonts w:eastAsia="Calibri"/>
          <w:snapToGrid w:val="0"/>
          <w:lang w:val="uk-UA"/>
        </w:rPr>
        <w:t xml:space="preserve"> у тканинах </w:t>
      </w:r>
      <w:r w:rsidRPr="00F46AB0">
        <w:rPr>
          <w:rFonts w:eastAsia="Calibri"/>
          <w:snapToGrid w:val="0"/>
        </w:rPr>
        <w:t>травного каналу</w:t>
      </w:r>
      <w:r w:rsidRPr="00F46AB0">
        <w:rPr>
          <w:rFonts w:eastAsia="Calibri"/>
          <w:snapToGrid w:val="0"/>
          <w:lang w:val="uk-UA"/>
        </w:rPr>
        <w:t xml:space="preserve"> до концентрації в плазмі крові становить 8:1, концентрації у тканинах легень до концентрації в плазмі крові – 3:1. </w:t>
      </w:r>
    </w:p>
    <w:p w14:paraId="3BC1B515" w14:textId="77777777" w:rsidR="0058188C" w:rsidRPr="00F46AB0" w:rsidRDefault="0058188C" w:rsidP="0058188C">
      <w:pPr>
        <w:ind w:firstLine="425"/>
        <w:jc w:val="both"/>
        <w:rPr>
          <w:rFonts w:eastAsia="Calibri"/>
          <w:snapToGrid w:val="0"/>
          <w:lang w:val="uk-UA"/>
        </w:rPr>
      </w:pPr>
      <w:proofErr w:type="spellStart"/>
      <w:r w:rsidRPr="00F46AB0">
        <w:rPr>
          <w:rFonts w:eastAsia="Calibri"/>
          <w:snapToGrid w:val="0"/>
          <w:lang w:val="uk-UA"/>
        </w:rPr>
        <w:t>Данофлоксацин</w:t>
      </w:r>
      <w:proofErr w:type="spellEnd"/>
      <w:r w:rsidRPr="00F46AB0">
        <w:rPr>
          <w:rFonts w:eastAsia="Calibri"/>
          <w:snapToGrid w:val="0"/>
          <w:lang w:val="uk-UA"/>
        </w:rPr>
        <w:t xml:space="preserve"> частково </w:t>
      </w:r>
      <w:proofErr w:type="spellStart"/>
      <w:r w:rsidRPr="00F46AB0">
        <w:rPr>
          <w:rFonts w:eastAsia="Calibri"/>
          <w:snapToGrid w:val="0"/>
          <w:lang w:val="uk-UA"/>
        </w:rPr>
        <w:t>метаболізується</w:t>
      </w:r>
      <w:proofErr w:type="spellEnd"/>
      <w:r w:rsidRPr="00F46AB0">
        <w:rPr>
          <w:rFonts w:eastAsia="Calibri"/>
          <w:snapToGrid w:val="0"/>
          <w:lang w:val="uk-UA"/>
        </w:rPr>
        <w:t xml:space="preserve"> в печінці і виводиться з організму з сечею та жовчю.</w:t>
      </w:r>
    </w:p>
    <w:p w14:paraId="3BC1B516" w14:textId="77777777" w:rsidR="0013593A" w:rsidRPr="00F46AB0" w:rsidRDefault="0013593A" w:rsidP="0013593A">
      <w:pPr>
        <w:ind w:firstLine="425"/>
        <w:jc w:val="both"/>
        <w:rPr>
          <w:b/>
          <w:lang w:val="uk-UA"/>
        </w:rPr>
      </w:pPr>
      <w:r w:rsidRPr="00F46AB0">
        <w:rPr>
          <w:b/>
          <w:lang w:val="uk-UA"/>
        </w:rPr>
        <w:t>5. Клінічні особливості</w:t>
      </w:r>
    </w:p>
    <w:p w14:paraId="3BC1B517" w14:textId="77777777" w:rsidR="0013593A" w:rsidRPr="00F46AB0" w:rsidRDefault="0013593A" w:rsidP="0013593A">
      <w:pPr>
        <w:ind w:firstLine="425"/>
        <w:jc w:val="both"/>
        <w:rPr>
          <w:b/>
          <w:lang w:val="uk-UA"/>
        </w:rPr>
      </w:pPr>
      <w:r w:rsidRPr="00F46AB0">
        <w:rPr>
          <w:b/>
          <w:lang w:val="uk-UA"/>
        </w:rPr>
        <w:t>5.1 Вид тварин</w:t>
      </w:r>
    </w:p>
    <w:p w14:paraId="3BC1B518" w14:textId="77777777" w:rsidR="0013593A" w:rsidRPr="00F46AB0" w:rsidRDefault="0013593A" w:rsidP="0013593A">
      <w:pPr>
        <w:ind w:firstLine="425"/>
        <w:jc w:val="both"/>
        <w:rPr>
          <w:lang w:val="uk-UA"/>
        </w:rPr>
      </w:pPr>
      <w:r w:rsidRPr="00F46AB0">
        <w:rPr>
          <w:lang w:val="uk-UA"/>
        </w:rPr>
        <w:t>Велика рогата худоба, свині.</w:t>
      </w:r>
    </w:p>
    <w:p w14:paraId="3BC1B519" w14:textId="77777777" w:rsidR="0013593A" w:rsidRPr="00F46AB0" w:rsidRDefault="0013593A" w:rsidP="0013593A">
      <w:pPr>
        <w:ind w:firstLine="425"/>
        <w:jc w:val="both"/>
        <w:rPr>
          <w:b/>
          <w:lang w:val="uk-UA"/>
        </w:rPr>
      </w:pPr>
      <w:r w:rsidRPr="00F46AB0">
        <w:rPr>
          <w:b/>
          <w:lang w:val="uk-UA"/>
        </w:rPr>
        <w:t>5.2 Показання до застосування</w:t>
      </w:r>
    </w:p>
    <w:p w14:paraId="3BC1B51A" w14:textId="77777777" w:rsidR="0058188C" w:rsidRPr="00F46AB0" w:rsidRDefault="0058188C" w:rsidP="0058188C">
      <w:pPr>
        <w:ind w:firstLine="425"/>
        <w:jc w:val="both"/>
        <w:rPr>
          <w:snapToGrid w:val="0"/>
          <w:lang w:val="uk-UA"/>
        </w:rPr>
      </w:pPr>
      <w:r w:rsidRPr="00F46AB0">
        <w:rPr>
          <w:snapToGrid w:val="0"/>
          <w:lang w:val="uk-UA"/>
        </w:rPr>
        <w:t>Лікування великої рогатої худоби при захворюваннях органів дихання та травного каналу, що спричинені мікроорганізмами</w:t>
      </w:r>
      <w:r w:rsidRPr="00F46AB0">
        <w:rPr>
          <w:lang w:val="uk-UA"/>
        </w:rPr>
        <w:t xml:space="preserve"> (</w:t>
      </w:r>
      <w:proofErr w:type="spellStart"/>
      <w:r w:rsidRPr="00F46AB0">
        <w:rPr>
          <w:i/>
        </w:rPr>
        <w:t>Pasteurella</w:t>
      </w:r>
      <w:proofErr w:type="spellEnd"/>
      <w:r w:rsidRPr="00F46AB0">
        <w:rPr>
          <w:i/>
          <w:lang w:val="uk-UA"/>
        </w:rPr>
        <w:t xml:space="preserve"> </w:t>
      </w:r>
      <w:proofErr w:type="spellStart"/>
      <w:r w:rsidRPr="00F46AB0">
        <w:rPr>
          <w:i/>
        </w:rPr>
        <w:t>haemolytica</w:t>
      </w:r>
      <w:proofErr w:type="spellEnd"/>
      <w:r w:rsidRPr="00F46AB0">
        <w:rPr>
          <w:lang w:val="uk-UA"/>
        </w:rPr>
        <w:t xml:space="preserve">, </w:t>
      </w:r>
      <w:r w:rsidRPr="00F46AB0">
        <w:rPr>
          <w:i/>
        </w:rPr>
        <w:t>P</w:t>
      </w:r>
      <w:r w:rsidRPr="00F46AB0">
        <w:rPr>
          <w:i/>
          <w:lang w:val="uk-UA"/>
        </w:rPr>
        <w:t xml:space="preserve">. </w:t>
      </w:r>
      <w:proofErr w:type="spellStart"/>
      <w:r w:rsidRPr="00F46AB0">
        <w:rPr>
          <w:i/>
        </w:rPr>
        <w:t>multocida</w:t>
      </w:r>
      <w:proofErr w:type="spellEnd"/>
      <w:r w:rsidRPr="00F46AB0">
        <w:rPr>
          <w:lang w:val="uk-UA"/>
        </w:rPr>
        <w:t xml:space="preserve">, </w:t>
      </w:r>
      <w:proofErr w:type="spellStart"/>
      <w:r w:rsidRPr="00F46AB0">
        <w:rPr>
          <w:i/>
        </w:rPr>
        <w:t>Escherichia</w:t>
      </w:r>
      <w:proofErr w:type="spellEnd"/>
      <w:r w:rsidRPr="00F46AB0">
        <w:rPr>
          <w:i/>
          <w:lang w:val="uk-UA"/>
        </w:rPr>
        <w:t xml:space="preserve"> </w:t>
      </w:r>
      <w:proofErr w:type="spellStart"/>
      <w:r w:rsidRPr="00F46AB0">
        <w:rPr>
          <w:i/>
        </w:rPr>
        <w:t>coli</w:t>
      </w:r>
      <w:proofErr w:type="spellEnd"/>
      <w:r w:rsidRPr="00F46AB0">
        <w:rPr>
          <w:i/>
          <w:lang w:val="uk-UA"/>
        </w:rPr>
        <w:t>,</w:t>
      </w:r>
      <w:r w:rsidRPr="00F46AB0">
        <w:rPr>
          <w:lang w:val="uk-UA"/>
        </w:rPr>
        <w:t xml:space="preserve"> </w:t>
      </w:r>
      <w:proofErr w:type="spellStart"/>
      <w:r w:rsidRPr="00F46AB0">
        <w:rPr>
          <w:i/>
        </w:rPr>
        <w:t>Salmonella</w:t>
      </w:r>
      <w:proofErr w:type="spellEnd"/>
      <w:r w:rsidRPr="00F46AB0">
        <w:rPr>
          <w:i/>
          <w:lang w:val="uk-UA"/>
        </w:rPr>
        <w:t xml:space="preserve"> </w:t>
      </w:r>
      <w:proofErr w:type="spellStart"/>
      <w:r w:rsidRPr="00F46AB0">
        <w:rPr>
          <w:i/>
        </w:rPr>
        <w:t>spp</w:t>
      </w:r>
      <w:proofErr w:type="spellEnd"/>
      <w:r w:rsidRPr="00F46AB0">
        <w:rPr>
          <w:i/>
          <w:lang w:val="uk-UA"/>
        </w:rPr>
        <w:t xml:space="preserve">. </w:t>
      </w:r>
      <w:r w:rsidRPr="00F46AB0">
        <w:rPr>
          <w:lang w:val="uk-UA"/>
        </w:rPr>
        <w:t>та інші)</w:t>
      </w:r>
      <w:r w:rsidRPr="00F46AB0">
        <w:rPr>
          <w:snapToGrid w:val="0"/>
          <w:lang w:val="uk-UA"/>
        </w:rPr>
        <w:t xml:space="preserve">, чутливими до </w:t>
      </w:r>
      <w:proofErr w:type="spellStart"/>
      <w:r w:rsidRPr="00F46AB0">
        <w:rPr>
          <w:snapToGrid w:val="0"/>
          <w:lang w:val="uk-UA"/>
        </w:rPr>
        <w:t>данофлоксацину</w:t>
      </w:r>
      <w:proofErr w:type="spellEnd"/>
      <w:r w:rsidRPr="00F46AB0">
        <w:rPr>
          <w:snapToGrid w:val="0"/>
          <w:lang w:val="uk-UA"/>
        </w:rPr>
        <w:t>.</w:t>
      </w:r>
    </w:p>
    <w:p w14:paraId="3BC1B51B" w14:textId="77777777" w:rsidR="0013593A" w:rsidRPr="00F46AB0" w:rsidRDefault="0058188C" w:rsidP="0058188C">
      <w:pPr>
        <w:ind w:firstLine="425"/>
        <w:jc w:val="both"/>
        <w:rPr>
          <w:snapToGrid w:val="0"/>
          <w:lang w:val="uk-UA"/>
        </w:rPr>
      </w:pPr>
      <w:r w:rsidRPr="00F46AB0">
        <w:rPr>
          <w:snapToGrid w:val="0"/>
          <w:lang w:val="uk-UA"/>
        </w:rPr>
        <w:t>Лікування свиней при захворюваннях органів дихання та травного каналу, що спричинені мікроорганізмами (</w:t>
      </w:r>
      <w:proofErr w:type="spellStart"/>
      <w:r w:rsidRPr="00F46AB0">
        <w:rPr>
          <w:i/>
        </w:rPr>
        <w:t>Pasteurella</w:t>
      </w:r>
      <w:proofErr w:type="spellEnd"/>
      <w:r w:rsidRPr="00F46AB0">
        <w:rPr>
          <w:i/>
          <w:lang w:val="uk-UA"/>
        </w:rPr>
        <w:t xml:space="preserve"> </w:t>
      </w:r>
      <w:proofErr w:type="spellStart"/>
      <w:r w:rsidRPr="00F46AB0">
        <w:rPr>
          <w:i/>
        </w:rPr>
        <w:t>multocida</w:t>
      </w:r>
      <w:proofErr w:type="spellEnd"/>
      <w:r w:rsidRPr="00F46AB0">
        <w:rPr>
          <w:i/>
          <w:lang w:val="uk-UA"/>
        </w:rPr>
        <w:t xml:space="preserve">, </w:t>
      </w:r>
      <w:proofErr w:type="spellStart"/>
      <w:r w:rsidRPr="00F46AB0">
        <w:rPr>
          <w:i/>
        </w:rPr>
        <w:t>Actinobacillus</w:t>
      </w:r>
      <w:proofErr w:type="spellEnd"/>
      <w:r w:rsidRPr="00F46AB0">
        <w:rPr>
          <w:i/>
          <w:lang w:val="uk-UA"/>
        </w:rPr>
        <w:t xml:space="preserve"> </w:t>
      </w:r>
      <w:proofErr w:type="spellStart"/>
      <w:r w:rsidRPr="00F46AB0">
        <w:rPr>
          <w:i/>
        </w:rPr>
        <w:t>pleuropneumoniae</w:t>
      </w:r>
      <w:proofErr w:type="spellEnd"/>
      <w:r w:rsidRPr="00F46AB0">
        <w:rPr>
          <w:i/>
          <w:lang w:val="uk-UA"/>
        </w:rPr>
        <w:t xml:space="preserve">, </w:t>
      </w:r>
      <w:proofErr w:type="spellStart"/>
      <w:r w:rsidRPr="00F46AB0">
        <w:rPr>
          <w:i/>
        </w:rPr>
        <w:t>Escherichia</w:t>
      </w:r>
      <w:proofErr w:type="spellEnd"/>
      <w:r w:rsidRPr="00F46AB0">
        <w:rPr>
          <w:i/>
          <w:lang w:val="uk-UA"/>
        </w:rPr>
        <w:t xml:space="preserve"> </w:t>
      </w:r>
      <w:proofErr w:type="spellStart"/>
      <w:r w:rsidRPr="00F46AB0">
        <w:rPr>
          <w:i/>
        </w:rPr>
        <w:t>coli</w:t>
      </w:r>
      <w:proofErr w:type="spellEnd"/>
      <w:r w:rsidRPr="00F46AB0">
        <w:rPr>
          <w:i/>
          <w:lang w:val="uk-UA"/>
        </w:rPr>
        <w:t xml:space="preserve"> </w:t>
      </w:r>
      <w:r w:rsidRPr="00F46AB0">
        <w:rPr>
          <w:lang w:val="uk-UA"/>
        </w:rPr>
        <w:t>та інші)</w:t>
      </w:r>
      <w:r w:rsidRPr="00F46AB0">
        <w:rPr>
          <w:i/>
          <w:lang w:val="uk-UA"/>
        </w:rPr>
        <w:t xml:space="preserve"> </w:t>
      </w:r>
      <w:r w:rsidRPr="00F46AB0">
        <w:rPr>
          <w:snapToGrid w:val="0"/>
          <w:lang w:val="uk-UA"/>
        </w:rPr>
        <w:t xml:space="preserve">, чутливими до </w:t>
      </w:r>
      <w:proofErr w:type="spellStart"/>
      <w:r w:rsidRPr="00F46AB0">
        <w:rPr>
          <w:snapToGrid w:val="0"/>
          <w:lang w:val="uk-UA"/>
        </w:rPr>
        <w:t>данофлоксацину</w:t>
      </w:r>
      <w:proofErr w:type="spellEnd"/>
      <w:r w:rsidRPr="00F46AB0">
        <w:rPr>
          <w:snapToGrid w:val="0"/>
          <w:lang w:val="uk-UA"/>
        </w:rPr>
        <w:t>.</w:t>
      </w:r>
    </w:p>
    <w:p w14:paraId="3BC1B51C" w14:textId="77777777" w:rsidR="0013593A" w:rsidRPr="00F46AB0" w:rsidRDefault="0013593A" w:rsidP="0013593A">
      <w:pPr>
        <w:ind w:firstLine="425"/>
        <w:jc w:val="both"/>
        <w:rPr>
          <w:b/>
          <w:lang w:val="uk-UA"/>
        </w:rPr>
      </w:pPr>
      <w:r w:rsidRPr="00F46AB0">
        <w:rPr>
          <w:b/>
          <w:lang w:val="uk-UA"/>
        </w:rPr>
        <w:t>5.3 Протипоказання</w:t>
      </w:r>
    </w:p>
    <w:p w14:paraId="3BC1B51D" w14:textId="77777777" w:rsidR="0058188C" w:rsidRPr="00F46AB0" w:rsidRDefault="0058188C" w:rsidP="0058188C">
      <w:pPr>
        <w:ind w:firstLine="425"/>
        <w:jc w:val="both"/>
        <w:rPr>
          <w:snapToGrid w:val="0"/>
          <w:lang w:val="uk-UA"/>
        </w:rPr>
      </w:pPr>
      <w:r w:rsidRPr="00F46AB0">
        <w:rPr>
          <w:snapToGrid w:val="0"/>
          <w:lang w:val="uk-UA"/>
        </w:rPr>
        <w:t xml:space="preserve">Не застосовувати тваринам з підвищеною індивідуальною чутливістю до </w:t>
      </w:r>
      <w:proofErr w:type="spellStart"/>
      <w:r w:rsidRPr="00F46AB0">
        <w:rPr>
          <w:snapToGrid w:val="0"/>
          <w:lang w:val="uk-UA"/>
        </w:rPr>
        <w:t>данофлоксацину</w:t>
      </w:r>
      <w:proofErr w:type="spellEnd"/>
      <w:r w:rsidRPr="00F46AB0">
        <w:rPr>
          <w:snapToGrid w:val="0"/>
          <w:lang w:val="uk-UA"/>
        </w:rPr>
        <w:t xml:space="preserve"> та інших </w:t>
      </w:r>
      <w:proofErr w:type="spellStart"/>
      <w:r w:rsidRPr="00F46AB0">
        <w:rPr>
          <w:snapToGrid w:val="0"/>
          <w:lang w:val="uk-UA"/>
        </w:rPr>
        <w:t>хінолонів</w:t>
      </w:r>
      <w:proofErr w:type="spellEnd"/>
      <w:r w:rsidRPr="00F46AB0">
        <w:rPr>
          <w:snapToGrid w:val="0"/>
          <w:lang w:val="uk-UA"/>
        </w:rPr>
        <w:t>.</w:t>
      </w:r>
    </w:p>
    <w:p w14:paraId="3BC1B51E" w14:textId="77777777" w:rsidR="0058188C" w:rsidRPr="00F46AB0" w:rsidRDefault="0058188C" w:rsidP="0058188C">
      <w:pPr>
        <w:ind w:firstLine="425"/>
        <w:jc w:val="both"/>
        <w:rPr>
          <w:snapToGrid w:val="0"/>
          <w:lang w:val="uk-UA"/>
        </w:rPr>
      </w:pPr>
      <w:r w:rsidRPr="00F46AB0">
        <w:rPr>
          <w:snapToGrid w:val="0"/>
          <w:lang w:val="uk-UA"/>
        </w:rPr>
        <w:t>Не лікувати тварин з ознаками захворювань центральної нервової системи, що супроводжуються судомами.</w:t>
      </w:r>
    </w:p>
    <w:p w14:paraId="3BC1B51F" w14:textId="77777777" w:rsidR="0058188C" w:rsidRPr="00F46AB0" w:rsidRDefault="0058188C" w:rsidP="0058188C">
      <w:pPr>
        <w:ind w:firstLine="425"/>
        <w:jc w:val="both"/>
        <w:rPr>
          <w:snapToGrid w:val="0"/>
          <w:lang w:val="uk-UA"/>
        </w:rPr>
      </w:pPr>
      <w:r w:rsidRPr="00F46AB0">
        <w:rPr>
          <w:snapToGrid w:val="0"/>
          <w:szCs w:val="20"/>
          <w:lang w:val="uk-UA"/>
        </w:rPr>
        <w:t>Не застосовувати коровам під час вагітності.</w:t>
      </w:r>
    </w:p>
    <w:p w14:paraId="3BC1B520" w14:textId="77777777" w:rsidR="0058188C" w:rsidRPr="00F46AB0" w:rsidRDefault="0058188C" w:rsidP="0058188C">
      <w:pPr>
        <w:ind w:firstLine="425"/>
        <w:jc w:val="both"/>
        <w:rPr>
          <w:snapToGrid w:val="0"/>
          <w:lang w:val="uk-UA"/>
        </w:rPr>
      </w:pPr>
      <w:r w:rsidRPr="00F46AB0">
        <w:rPr>
          <w:snapToGrid w:val="0"/>
          <w:lang w:val="uk-UA"/>
        </w:rPr>
        <w:t>Не застосовувати молодим тваринам з недостатнім розвитком хрящової та кісткової тканини.</w:t>
      </w:r>
    </w:p>
    <w:p w14:paraId="3BC1B521" w14:textId="77777777" w:rsidR="0058188C" w:rsidRPr="00F46AB0" w:rsidRDefault="0058188C" w:rsidP="0058188C">
      <w:pPr>
        <w:ind w:firstLine="425"/>
        <w:jc w:val="both"/>
        <w:rPr>
          <w:snapToGrid w:val="0"/>
          <w:lang w:val="uk-UA"/>
        </w:rPr>
      </w:pPr>
      <w:r w:rsidRPr="00F46AB0">
        <w:rPr>
          <w:snapToGrid w:val="0"/>
          <w:lang w:val="uk-UA"/>
        </w:rPr>
        <w:lastRenderedPageBreak/>
        <w:t xml:space="preserve">Не застосовувати при виявленні стійких до </w:t>
      </w:r>
      <w:proofErr w:type="spellStart"/>
      <w:r w:rsidRPr="00F46AB0">
        <w:rPr>
          <w:snapToGrid w:val="0"/>
          <w:lang w:val="uk-UA"/>
        </w:rPr>
        <w:t>хінолонів</w:t>
      </w:r>
      <w:proofErr w:type="spellEnd"/>
      <w:r w:rsidRPr="00F46AB0">
        <w:rPr>
          <w:snapToGrid w:val="0"/>
          <w:lang w:val="uk-UA"/>
        </w:rPr>
        <w:t xml:space="preserve"> штамів патогенних бактерій.</w:t>
      </w:r>
    </w:p>
    <w:p w14:paraId="3BC1B522" w14:textId="77777777" w:rsidR="0013593A" w:rsidRPr="00F46AB0" w:rsidRDefault="0058188C" w:rsidP="0058188C">
      <w:pPr>
        <w:ind w:firstLine="425"/>
        <w:rPr>
          <w:snapToGrid w:val="0"/>
          <w:lang w:val="uk-UA"/>
        </w:rPr>
      </w:pPr>
      <w:r w:rsidRPr="00F46AB0">
        <w:rPr>
          <w:snapToGrid w:val="0"/>
          <w:lang w:val="uk-UA"/>
        </w:rPr>
        <w:t xml:space="preserve">Не застосовувати одночасно з препаратами тетрациклінового ряду, </w:t>
      </w:r>
      <w:proofErr w:type="spellStart"/>
      <w:r w:rsidRPr="00F46AB0">
        <w:rPr>
          <w:snapToGrid w:val="0"/>
          <w:lang w:val="uk-UA"/>
        </w:rPr>
        <w:t>макролідами</w:t>
      </w:r>
      <w:proofErr w:type="spellEnd"/>
      <w:r w:rsidRPr="00F46AB0">
        <w:rPr>
          <w:snapToGrid w:val="0"/>
          <w:lang w:val="uk-UA"/>
        </w:rPr>
        <w:t xml:space="preserve"> (еритроміцином), </w:t>
      </w:r>
      <w:proofErr w:type="spellStart"/>
      <w:r w:rsidRPr="00F46AB0">
        <w:rPr>
          <w:snapToGrid w:val="0"/>
          <w:lang w:val="uk-UA"/>
        </w:rPr>
        <w:t>хлорамфеніколом</w:t>
      </w:r>
      <w:proofErr w:type="spellEnd"/>
      <w:r w:rsidRPr="00F46AB0">
        <w:rPr>
          <w:snapToGrid w:val="0"/>
          <w:lang w:val="uk-UA"/>
        </w:rPr>
        <w:t>, нестероїдними протизапальними препаратами та теофіліном.</w:t>
      </w:r>
    </w:p>
    <w:p w14:paraId="3BC1B523" w14:textId="77777777" w:rsidR="0058188C" w:rsidRPr="00F46AB0" w:rsidRDefault="0058188C" w:rsidP="0058188C">
      <w:pPr>
        <w:ind w:firstLine="425"/>
        <w:jc w:val="both"/>
        <w:rPr>
          <w:b/>
          <w:lang w:val="uk-UA"/>
        </w:rPr>
      </w:pPr>
      <w:r w:rsidRPr="00F46AB0">
        <w:rPr>
          <w:b/>
          <w:lang w:val="uk-UA"/>
        </w:rPr>
        <w:t>5.4 Побічна дія</w:t>
      </w:r>
    </w:p>
    <w:p w14:paraId="3BC1B524" w14:textId="77777777" w:rsidR="0058188C" w:rsidRPr="00F46AB0" w:rsidRDefault="0058188C" w:rsidP="0058188C">
      <w:pPr>
        <w:shd w:val="clear" w:color="auto" w:fill="FFFFFF"/>
        <w:ind w:firstLine="425"/>
        <w:jc w:val="both"/>
        <w:rPr>
          <w:lang w:val="uk-UA"/>
        </w:rPr>
      </w:pPr>
      <w:r w:rsidRPr="00F46AB0">
        <w:rPr>
          <w:lang w:val="uk-UA"/>
        </w:rPr>
        <w:t xml:space="preserve">При застосуванні за показаннями у рекомендованих дозах побічних явищ та ускладнень, як правило, не спостерігається. </w:t>
      </w:r>
    </w:p>
    <w:p w14:paraId="3BC1B525" w14:textId="77777777" w:rsidR="0058188C" w:rsidRPr="00F46AB0" w:rsidRDefault="0058188C" w:rsidP="00581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lang w:val="uk-UA"/>
        </w:rPr>
      </w:pPr>
      <w:r w:rsidRPr="00F46AB0">
        <w:rPr>
          <w:lang w:val="uk-UA"/>
        </w:rPr>
        <w:t xml:space="preserve">Можливі реакції </w:t>
      </w:r>
      <w:proofErr w:type="spellStart"/>
      <w:r w:rsidRPr="00F46AB0">
        <w:rPr>
          <w:lang w:val="uk-UA"/>
        </w:rPr>
        <w:t>гіперчутливості</w:t>
      </w:r>
      <w:proofErr w:type="spellEnd"/>
      <w:r w:rsidRPr="00F46AB0">
        <w:rPr>
          <w:lang w:val="uk-UA"/>
        </w:rPr>
        <w:t xml:space="preserve"> за підвищеної індивідуальної чутливості до компонентів препарату.</w:t>
      </w:r>
    </w:p>
    <w:p w14:paraId="3BC1B526" w14:textId="77777777" w:rsidR="0058188C" w:rsidRPr="00F46AB0" w:rsidRDefault="0058188C" w:rsidP="00581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lang w:val="uk-UA"/>
        </w:rPr>
      </w:pPr>
      <w:r w:rsidRPr="00F46AB0">
        <w:rPr>
          <w:lang w:val="uk-UA"/>
        </w:rPr>
        <w:t xml:space="preserve">В деяких випадках можливе короткочасне порушення функції травного каналу. </w:t>
      </w:r>
    </w:p>
    <w:p w14:paraId="3BC1B527" w14:textId="77777777" w:rsidR="0058188C" w:rsidRPr="00F46AB0" w:rsidRDefault="0058188C" w:rsidP="0058188C">
      <w:pPr>
        <w:shd w:val="clear" w:color="auto" w:fill="FFFFFF"/>
        <w:ind w:firstLine="425"/>
        <w:jc w:val="both"/>
        <w:rPr>
          <w:lang w:val="uk-UA"/>
        </w:rPr>
      </w:pPr>
      <w:r w:rsidRPr="00F46AB0">
        <w:rPr>
          <w:lang w:val="uk-UA"/>
        </w:rPr>
        <w:t>У місці ін’єкції може виникнути незначна припухлість, що не потребує лікування.</w:t>
      </w:r>
    </w:p>
    <w:p w14:paraId="3BC1B528" w14:textId="77777777" w:rsidR="0058188C" w:rsidRPr="00F46AB0" w:rsidRDefault="0058188C" w:rsidP="0058188C">
      <w:pPr>
        <w:shd w:val="clear" w:color="auto" w:fill="FFFFFF"/>
        <w:ind w:firstLine="425"/>
        <w:jc w:val="both"/>
        <w:rPr>
          <w:lang w:val="uk-UA"/>
        </w:rPr>
      </w:pPr>
      <w:proofErr w:type="spellStart"/>
      <w:r w:rsidRPr="00F46AB0">
        <w:rPr>
          <w:lang w:val="uk-UA"/>
        </w:rPr>
        <w:t>Фторхінолони</w:t>
      </w:r>
      <w:proofErr w:type="spellEnd"/>
      <w:r w:rsidRPr="00F46AB0">
        <w:rPr>
          <w:lang w:val="uk-UA"/>
        </w:rPr>
        <w:t xml:space="preserve"> можуть викликати </w:t>
      </w:r>
      <w:proofErr w:type="spellStart"/>
      <w:r w:rsidRPr="00F46AB0">
        <w:rPr>
          <w:lang w:val="uk-UA"/>
        </w:rPr>
        <w:t>атропатію</w:t>
      </w:r>
      <w:proofErr w:type="spellEnd"/>
      <w:r w:rsidRPr="00F46AB0">
        <w:rPr>
          <w:lang w:val="uk-UA"/>
        </w:rPr>
        <w:t xml:space="preserve"> та кульгавість у молодих тварин, що виникають внаслідок пошкодження суглобових хрящів. </w:t>
      </w:r>
    </w:p>
    <w:p w14:paraId="3BC1B529" w14:textId="77777777" w:rsidR="0058188C" w:rsidRPr="00F46AB0" w:rsidRDefault="0058188C" w:rsidP="0058188C">
      <w:pPr>
        <w:ind w:firstLine="425"/>
        <w:jc w:val="both"/>
        <w:rPr>
          <w:b/>
          <w:lang w:val="uk-UA"/>
        </w:rPr>
      </w:pPr>
      <w:r w:rsidRPr="00F46AB0">
        <w:rPr>
          <w:b/>
          <w:lang w:val="uk-UA"/>
        </w:rPr>
        <w:t>5.5 Особливі застереження при використанні</w:t>
      </w:r>
    </w:p>
    <w:p w14:paraId="3BC1B52A" w14:textId="77777777" w:rsidR="0058188C" w:rsidRPr="00F46AB0" w:rsidRDefault="0058188C" w:rsidP="0058188C">
      <w:pPr>
        <w:widowControl w:val="0"/>
        <w:ind w:firstLine="425"/>
        <w:jc w:val="both"/>
        <w:rPr>
          <w:snapToGrid w:val="0"/>
          <w:lang w:val="uk-UA"/>
        </w:rPr>
      </w:pPr>
      <w:r w:rsidRPr="00F46AB0">
        <w:rPr>
          <w:snapToGrid w:val="0"/>
          <w:lang w:val="uk-UA"/>
        </w:rPr>
        <w:t xml:space="preserve">Не застосовувати при виявленні стійких до </w:t>
      </w:r>
      <w:proofErr w:type="spellStart"/>
      <w:r w:rsidRPr="00F46AB0">
        <w:rPr>
          <w:snapToGrid w:val="0"/>
          <w:lang w:val="uk-UA"/>
        </w:rPr>
        <w:t>хінолонів</w:t>
      </w:r>
      <w:proofErr w:type="spellEnd"/>
      <w:r w:rsidRPr="00F46AB0">
        <w:rPr>
          <w:snapToGrid w:val="0"/>
          <w:lang w:val="uk-UA"/>
        </w:rPr>
        <w:t xml:space="preserve"> штамів патогенних бактерій.</w:t>
      </w:r>
    </w:p>
    <w:p w14:paraId="3BC1B52B" w14:textId="77777777" w:rsidR="0058188C" w:rsidRPr="00F46AB0" w:rsidRDefault="0058188C" w:rsidP="00581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lang w:val="uk-UA"/>
        </w:rPr>
      </w:pPr>
      <w:proofErr w:type="spellStart"/>
      <w:r w:rsidRPr="00F46AB0">
        <w:rPr>
          <w:snapToGrid w:val="0"/>
          <w:lang w:val="uk-UA"/>
        </w:rPr>
        <w:t>Фторхінолони</w:t>
      </w:r>
      <w:proofErr w:type="spellEnd"/>
      <w:r w:rsidRPr="00F46AB0">
        <w:rPr>
          <w:snapToGrid w:val="0"/>
          <w:lang w:val="uk-UA"/>
        </w:rPr>
        <w:t xml:space="preserve"> необхідно раціонально застосовувати для лікування клінічних станів, які погано реагують (або очікується, що будуть погано реагувати) на лікування іншими антибактеріальними препаратами. Використання препарату має ґрунтуватися на дослідженні чутливості мікроорганізмів-збудників захворювання до </w:t>
      </w:r>
      <w:proofErr w:type="spellStart"/>
      <w:r w:rsidRPr="00F46AB0">
        <w:rPr>
          <w:snapToGrid w:val="0"/>
          <w:lang w:val="uk-UA"/>
        </w:rPr>
        <w:t>данофлоксацину</w:t>
      </w:r>
      <w:proofErr w:type="spellEnd"/>
      <w:r w:rsidRPr="00F46AB0">
        <w:rPr>
          <w:snapToGrid w:val="0"/>
          <w:lang w:val="uk-UA"/>
        </w:rPr>
        <w:t xml:space="preserve"> та з урахуванням місцевих рекомендацій.</w:t>
      </w:r>
    </w:p>
    <w:p w14:paraId="3BC1B52C" w14:textId="77777777" w:rsidR="0058188C" w:rsidRPr="00F46AB0" w:rsidRDefault="0058188C" w:rsidP="0058188C">
      <w:pPr>
        <w:ind w:firstLine="425"/>
        <w:jc w:val="both"/>
        <w:rPr>
          <w:b/>
          <w:lang w:val="uk-UA"/>
        </w:rPr>
      </w:pPr>
      <w:r w:rsidRPr="00F46AB0">
        <w:rPr>
          <w:b/>
          <w:lang w:val="uk-UA"/>
        </w:rPr>
        <w:t>5.6 Використання під час вагітності, лактації</w:t>
      </w:r>
    </w:p>
    <w:p w14:paraId="3BC1B52D" w14:textId="77777777" w:rsidR="0058188C" w:rsidRPr="00F46AB0" w:rsidRDefault="0058188C" w:rsidP="0058188C">
      <w:pPr>
        <w:ind w:firstLine="425"/>
        <w:jc w:val="both"/>
        <w:rPr>
          <w:lang w:val="uk-UA"/>
        </w:rPr>
      </w:pPr>
      <w:r w:rsidRPr="00F46AB0">
        <w:rPr>
          <w:lang w:val="uk-UA"/>
        </w:rPr>
        <w:t>Не застосовувати коровам під час вагітності, а у період лактації – застережень немає.</w:t>
      </w:r>
    </w:p>
    <w:p w14:paraId="3BC1B52E" w14:textId="77777777" w:rsidR="0058188C" w:rsidRPr="00F46AB0" w:rsidRDefault="0058188C" w:rsidP="0058188C">
      <w:pPr>
        <w:ind w:firstLine="425"/>
        <w:jc w:val="both"/>
        <w:rPr>
          <w:lang w:val="uk-UA"/>
        </w:rPr>
      </w:pPr>
      <w:r w:rsidRPr="00F46AB0">
        <w:rPr>
          <w:lang w:val="uk-UA"/>
        </w:rPr>
        <w:t xml:space="preserve">Дія </w:t>
      </w:r>
      <w:proofErr w:type="spellStart"/>
      <w:r w:rsidRPr="00F46AB0">
        <w:rPr>
          <w:lang w:val="uk-UA"/>
        </w:rPr>
        <w:t>данофлоксацину</w:t>
      </w:r>
      <w:proofErr w:type="spellEnd"/>
      <w:r w:rsidRPr="00F46AB0">
        <w:rPr>
          <w:lang w:val="uk-UA"/>
        </w:rPr>
        <w:t xml:space="preserve"> на репродуктивну функцію та вагітність у свиней не була вивчена, тому застосування препарату допускають тільки після ретельної оцінки співвідношення користь/ризик лікарем ветеринарної медицини.</w:t>
      </w:r>
    </w:p>
    <w:p w14:paraId="3BC1B52F" w14:textId="77777777" w:rsidR="0058188C" w:rsidRPr="00F46AB0" w:rsidRDefault="0058188C" w:rsidP="0058188C">
      <w:pPr>
        <w:ind w:firstLine="425"/>
        <w:jc w:val="both"/>
        <w:rPr>
          <w:b/>
          <w:lang w:val="uk-UA"/>
        </w:rPr>
      </w:pPr>
      <w:r w:rsidRPr="00F46AB0">
        <w:rPr>
          <w:b/>
          <w:lang w:val="uk-UA"/>
        </w:rPr>
        <w:t>5.7 Взаємодія з іншими засобами та інші форми взаємодії</w:t>
      </w:r>
    </w:p>
    <w:p w14:paraId="3BC1B530" w14:textId="77777777" w:rsidR="0058188C" w:rsidRPr="00F46AB0" w:rsidRDefault="0058188C" w:rsidP="0058188C">
      <w:pPr>
        <w:ind w:firstLine="425"/>
        <w:jc w:val="both"/>
        <w:rPr>
          <w:lang w:val="uk-UA"/>
        </w:rPr>
      </w:pPr>
      <w:r w:rsidRPr="00F46AB0">
        <w:rPr>
          <w:lang w:val="uk-UA"/>
        </w:rPr>
        <w:t xml:space="preserve">Не застосовувати одночасно з препаратами тетрациклінового ряду, </w:t>
      </w:r>
      <w:proofErr w:type="spellStart"/>
      <w:r w:rsidRPr="00F46AB0">
        <w:rPr>
          <w:lang w:val="uk-UA"/>
        </w:rPr>
        <w:t>макролідами</w:t>
      </w:r>
      <w:proofErr w:type="spellEnd"/>
      <w:r w:rsidRPr="00F46AB0">
        <w:rPr>
          <w:lang w:val="uk-UA"/>
        </w:rPr>
        <w:t xml:space="preserve"> (еритроміцином), </w:t>
      </w:r>
      <w:proofErr w:type="spellStart"/>
      <w:r w:rsidRPr="00F46AB0">
        <w:rPr>
          <w:lang w:val="uk-UA"/>
        </w:rPr>
        <w:t>хлорамфеніколом</w:t>
      </w:r>
      <w:proofErr w:type="spellEnd"/>
      <w:r w:rsidRPr="00F46AB0">
        <w:rPr>
          <w:lang w:val="uk-UA"/>
        </w:rPr>
        <w:t xml:space="preserve">, нестероїдними протизапальними препаратами або теофіліном. </w:t>
      </w:r>
    </w:p>
    <w:p w14:paraId="3BC1B531" w14:textId="77777777" w:rsidR="0058188C" w:rsidRPr="00F46AB0" w:rsidRDefault="0058188C" w:rsidP="0058188C">
      <w:pPr>
        <w:ind w:firstLine="425"/>
        <w:jc w:val="both"/>
        <w:rPr>
          <w:b/>
          <w:lang w:val="uk-UA"/>
        </w:rPr>
      </w:pPr>
      <w:r w:rsidRPr="00F46AB0">
        <w:rPr>
          <w:b/>
          <w:lang w:val="uk-UA"/>
        </w:rPr>
        <w:t xml:space="preserve">5.8 Дози та способи введення тваринам різного віку </w:t>
      </w:r>
    </w:p>
    <w:p w14:paraId="3BC1B532" w14:textId="77777777" w:rsidR="0058188C" w:rsidRPr="00F46AB0" w:rsidRDefault="0058188C" w:rsidP="0058188C">
      <w:pPr>
        <w:ind w:firstLine="425"/>
        <w:jc w:val="both"/>
        <w:rPr>
          <w:lang w:val="uk-UA"/>
        </w:rPr>
      </w:pPr>
      <w:proofErr w:type="spellStart"/>
      <w:r w:rsidRPr="00F46AB0">
        <w:rPr>
          <w:lang w:val="uk-UA"/>
        </w:rPr>
        <w:t>Внутрішньом'язово</w:t>
      </w:r>
      <w:proofErr w:type="spellEnd"/>
      <w:r w:rsidRPr="00F46AB0">
        <w:rPr>
          <w:lang w:val="uk-UA"/>
        </w:rPr>
        <w:t xml:space="preserve"> в дозі 1,0 мл препарату на 20 кг маси тіла (що еквівалентно 1,25 мг </w:t>
      </w:r>
      <w:proofErr w:type="spellStart"/>
      <w:r w:rsidRPr="00F46AB0">
        <w:rPr>
          <w:lang w:val="uk-UA"/>
        </w:rPr>
        <w:t>данофлоксацину</w:t>
      </w:r>
      <w:proofErr w:type="spellEnd"/>
      <w:r w:rsidRPr="00F46AB0">
        <w:rPr>
          <w:lang w:val="uk-UA"/>
        </w:rPr>
        <w:t xml:space="preserve"> на 1 кг маси тіла) один раз на добу впродовж 3-х діб. За необхідності курс лікування можливо подовжити ще на 2 доби.</w:t>
      </w:r>
    </w:p>
    <w:p w14:paraId="3BC1B533" w14:textId="77777777" w:rsidR="00B61699" w:rsidRPr="00F46AB0" w:rsidRDefault="0058188C" w:rsidP="0058188C">
      <w:pPr>
        <w:shd w:val="clear" w:color="auto" w:fill="FFFFFF"/>
        <w:ind w:firstLine="425"/>
        <w:jc w:val="both"/>
        <w:rPr>
          <w:lang w:val="uk-UA"/>
        </w:rPr>
      </w:pPr>
      <w:r w:rsidRPr="00F46AB0">
        <w:rPr>
          <w:lang w:val="uk-UA"/>
        </w:rPr>
        <w:t>Об’єм введеної дози в одне місце ін’єкції не повинен перевищувати 20 мл для великої рогатої худоби, 5 мл – для свиней. Якщо об’єм дози буде більший, то його необхідно розділити та ввести в різні ділянки тіла.</w:t>
      </w:r>
    </w:p>
    <w:p w14:paraId="3BC1B534" w14:textId="77777777" w:rsidR="0013593A" w:rsidRPr="00F46AB0" w:rsidRDefault="0013593A" w:rsidP="0058188C">
      <w:pPr>
        <w:shd w:val="clear" w:color="auto" w:fill="FFFFFF"/>
        <w:ind w:firstLine="425"/>
        <w:jc w:val="both"/>
        <w:rPr>
          <w:b/>
          <w:lang w:val="uk-UA"/>
        </w:rPr>
      </w:pPr>
      <w:r w:rsidRPr="00F46AB0">
        <w:rPr>
          <w:b/>
          <w:lang w:val="uk-UA"/>
        </w:rPr>
        <w:t xml:space="preserve">5.9 Передозування </w:t>
      </w:r>
    </w:p>
    <w:p w14:paraId="3BC1B535" w14:textId="77777777" w:rsidR="0013593A" w:rsidRPr="00F46AB0" w:rsidRDefault="0013593A" w:rsidP="0013593A">
      <w:pPr>
        <w:ind w:firstLine="425"/>
        <w:jc w:val="both"/>
        <w:rPr>
          <w:lang w:val="uk-UA"/>
        </w:rPr>
      </w:pPr>
      <w:r w:rsidRPr="00F46AB0">
        <w:rPr>
          <w:lang w:val="uk-UA"/>
        </w:rPr>
        <w:t>Перевищення терапевтичної дози для великої рогатої худоби в 25 разів та в 10 разів для свиней викликає лише незначні ознаки отруєння: тремор, атаксію та легку депресію.</w:t>
      </w:r>
    </w:p>
    <w:p w14:paraId="3BC1B536" w14:textId="77777777" w:rsidR="0013593A" w:rsidRPr="00F46AB0" w:rsidRDefault="0013593A" w:rsidP="0013593A">
      <w:pPr>
        <w:ind w:firstLine="425"/>
        <w:jc w:val="both"/>
        <w:rPr>
          <w:b/>
          <w:lang w:val="uk-UA"/>
        </w:rPr>
      </w:pPr>
      <w:r w:rsidRPr="00F46AB0">
        <w:rPr>
          <w:b/>
          <w:lang w:val="uk-UA"/>
        </w:rPr>
        <w:t>5.10 Спеціальні застереження</w:t>
      </w:r>
    </w:p>
    <w:p w14:paraId="3BC1B537" w14:textId="77777777" w:rsidR="0013593A" w:rsidRPr="00F46AB0" w:rsidRDefault="0013593A" w:rsidP="0013593A">
      <w:pPr>
        <w:widowControl w:val="0"/>
        <w:ind w:firstLine="425"/>
        <w:jc w:val="both"/>
        <w:rPr>
          <w:snapToGrid w:val="0"/>
          <w:lang w:val="uk-UA"/>
        </w:rPr>
      </w:pPr>
      <w:r w:rsidRPr="00F46AB0">
        <w:rPr>
          <w:snapToGrid w:val="0"/>
          <w:lang w:val="uk-UA"/>
        </w:rPr>
        <w:t>Відсутні.</w:t>
      </w:r>
    </w:p>
    <w:p w14:paraId="3BC1B538" w14:textId="77777777" w:rsidR="0013593A" w:rsidRPr="00F46AB0" w:rsidRDefault="0013593A" w:rsidP="0013593A">
      <w:pPr>
        <w:ind w:firstLine="425"/>
        <w:jc w:val="both"/>
        <w:rPr>
          <w:b/>
          <w:lang w:val="uk-UA"/>
        </w:rPr>
      </w:pPr>
      <w:r w:rsidRPr="00F46AB0">
        <w:rPr>
          <w:b/>
          <w:lang w:val="uk-UA"/>
        </w:rPr>
        <w:t>5.11 Період виведення (каренції)</w:t>
      </w:r>
    </w:p>
    <w:p w14:paraId="3BC1B539" w14:textId="77777777" w:rsidR="0013593A" w:rsidRPr="00F46AB0" w:rsidRDefault="0013593A" w:rsidP="0013593A">
      <w:pPr>
        <w:ind w:firstLine="425"/>
        <w:jc w:val="both"/>
        <w:rPr>
          <w:lang w:val="uk-UA"/>
        </w:rPr>
      </w:pPr>
      <w:r w:rsidRPr="00F46AB0">
        <w:rPr>
          <w:lang w:val="uk-UA"/>
        </w:rPr>
        <w:t>Забій тварин на м'ясо дозволяють через 5 діб (велика рогата худоба) та 3 доби (свині) після останнього застосування препарату. Споживання молока дозволяють через 48 годин після останнього застосування препарату. Отримане до зазначеного терміну м’ясо та молоко утилізують або згодовують непродуктивним тваринам, залежно від висновку лікаря ветеринарної медицини.</w:t>
      </w:r>
    </w:p>
    <w:p w14:paraId="3BC1B53A" w14:textId="77777777" w:rsidR="0013593A" w:rsidRPr="00F46AB0" w:rsidRDefault="0013593A" w:rsidP="0013593A">
      <w:pPr>
        <w:ind w:firstLine="425"/>
        <w:jc w:val="both"/>
        <w:rPr>
          <w:b/>
          <w:lang w:val="uk-UA"/>
        </w:rPr>
      </w:pPr>
      <w:r w:rsidRPr="00F46AB0">
        <w:rPr>
          <w:b/>
          <w:lang w:val="uk-UA"/>
        </w:rPr>
        <w:t>5.12 Спеціальні застереження для осіб і обслуговуючого персоналу</w:t>
      </w:r>
    </w:p>
    <w:p w14:paraId="3BC1B53B" w14:textId="77777777" w:rsidR="0013593A" w:rsidRPr="00F46AB0" w:rsidRDefault="0013593A" w:rsidP="00135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lang w:val="uk-UA"/>
        </w:rPr>
      </w:pPr>
      <w:r w:rsidRPr="00F46AB0">
        <w:rPr>
          <w:snapToGrid w:val="0"/>
          <w:lang w:val="uk-UA"/>
        </w:rPr>
        <w:t xml:space="preserve">Персонал, який працює з препаратом, повинен дотримуватись основних правил гігієни та безпеки, прийнятих при роботі з ветеринарними препаратами. </w:t>
      </w:r>
      <w:r w:rsidRPr="00F46AB0">
        <w:rPr>
          <w:lang w:val="uk-UA"/>
        </w:rPr>
        <w:t>Необхідно мити руки після використання. При потраплянні препарату на шкіру та в очі, необхідно негайно промити водою.</w:t>
      </w:r>
    </w:p>
    <w:p w14:paraId="3BC1B53C" w14:textId="77777777" w:rsidR="0013593A" w:rsidRPr="00F46AB0" w:rsidRDefault="0013593A" w:rsidP="0013593A">
      <w:pPr>
        <w:ind w:firstLine="425"/>
        <w:jc w:val="both"/>
        <w:rPr>
          <w:b/>
          <w:lang w:val="uk-UA"/>
        </w:rPr>
      </w:pPr>
      <w:r w:rsidRPr="00F46AB0">
        <w:rPr>
          <w:lang w:val="uk-UA"/>
        </w:rPr>
        <w:t>Препарат може спричинити сильне пошкодження тканин при випадковому введенні самому собі. У разі такого введення необхідно негайно ретельно промити уражену ділянку водою та звернутися до лікаря.</w:t>
      </w:r>
    </w:p>
    <w:p w14:paraId="3BC1B53D" w14:textId="77777777" w:rsidR="0013593A" w:rsidRPr="00F46AB0" w:rsidRDefault="0013593A" w:rsidP="0013593A">
      <w:pPr>
        <w:ind w:firstLine="425"/>
        <w:jc w:val="both"/>
        <w:rPr>
          <w:b/>
          <w:lang w:val="uk-UA"/>
        </w:rPr>
      </w:pPr>
      <w:r w:rsidRPr="00F46AB0">
        <w:rPr>
          <w:b/>
          <w:lang w:val="uk-UA"/>
        </w:rPr>
        <w:t>6. Фармацевтичні особливості</w:t>
      </w:r>
    </w:p>
    <w:p w14:paraId="3BC1B53E" w14:textId="77777777" w:rsidR="0013593A" w:rsidRPr="00F46AB0" w:rsidRDefault="0013593A" w:rsidP="0013593A">
      <w:pPr>
        <w:ind w:firstLine="425"/>
        <w:rPr>
          <w:b/>
          <w:lang w:val="uk-UA"/>
        </w:rPr>
      </w:pPr>
      <w:r w:rsidRPr="00F46AB0">
        <w:rPr>
          <w:b/>
          <w:lang w:val="uk-UA"/>
        </w:rPr>
        <w:t>6.1 Форми несумісності (основні)</w:t>
      </w:r>
    </w:p>
    <w:p w14:paraId="3BC1B53F" w14:textId="77777777" w:rsidR="0013593A" w:rsidRPr="00F46AB0" w:rsidRDefault="0013593A" w:rsidP="0013593A">
      <w:pPr>
        <w:ind w:firstLine="425"/>
        <w:jc w:val="both"/>
        <w:rPr>
          <w:lang w:val="uk-UA"/>
        </w:rPr>
      </w:pPr>
      <w:r w:rsidRPr="00F46AB0">
        <w:rPr>
          <w:lang w:val="uk-UA"/>
        </w:rPr>
        <w:lastRenderedPageBreak/>
        <w:t>Не вивчені.</w:t>
      </w:r>
    </w:p>
    <w:p w14:paraId="3BC1B540" w14:textId="77777777" w:rsidR="0013593A" w:rsidRPr="00F46AB0" w:rsidRDefault="0013593A" w:rsidP="0013593A">
      <w:pPr>
        <w:ind w:firstLine="425"/>
        <w:jc w:val="both"/>
        <w:rPr>
          <w:b/>
          <w:lang w:val="uk-UA"/>
        </w:rPr>
      </w:pPr>
      <w:r w:rsidRPr="00F46AB0">
        <w:rPr>
          <w:b/>
          <w:lang w:val="uk-UA"/>
        </w:rPr>
        <w:t>6.2 Термін придатності</w:t>
      </w:r>
    </w:p>
    <w:p w14:paraId="3BC1B541" w14:textId="77777777" w:rsidR="0013593A" w:rsidRPr="00F46AB0" w:rsidRDefault="0013593A" w:rsidP="0013593A">
      <w:pPr>
        <w:ind w:firstLine="425"/>
        <w:jc w:val="both"/>
        <w:rPr>
          <w:lang w:val="uk-UA"/>
        </w:rPr>
      </w:pPr>
      <w:r w:rsidRPr="00F46AB0">
        <w:rPr>
          <w:lang w:val="uk-UA"/>
        </w:rPr>
        <w:t xml:space="preserve">2 роки. </w:t>
      </w:r>
    </w:p>
    <w:p w14:paraId="3BC1B542" w14:textId="77777777" w:rsidR="0013593A" w:rsidRPr="00F46AB0" w:rsidRDefault="0013593A" w:rsidP="0013593A">
      <w:pPr>
        <w:ind w:firstLine="425"/>
        <w:jc w:val="both"/>
        <w:rPr>
          <w:lang w:val="uk-UA"/>
        </w:rPr>
      </w:pPr>
      <w:r w:rsidRPr="00F46AB0">
        <w:rPr>
          <w:lang w:val="uk-UA"/>
        </w:rPr>
        <w:t>Після першого відбору з флакону – 14 діб за умови зберігання його у темному місці за температури від 5</w:t>
      </w:r>
      <w:r w:rsidR="00063171" w:rsidRPr="00F46AB0">
        <w:rPr>
          <w:lang w:val="uk-UA"/>
        </w:rPr>
        <w:t xml:space="preserve"> </w:t>
      </w:r>
      <w:r w:rsidRPr="00F46AB0">
        <w:rPr>
          <w:lang w:val="uk-UA"/>
        </w:rPr>
        <w:t>до 25</w:t>
      </w:r>
      <w:r w:rsidR="00063171" w:rsidRPr="00F46AB0">
        <w:rPr>
          <w:lang w:val="uk-UA"/>
        </w:rPr>
        <w:t xml:space="preserve"> </w:t>
      </w:r>
      <w:r w:rsidRPr="00F46AB0">
        <w:rPr>
          <w:lang w:val="uk-UA"/>
        </w:rPr>
        <w:t>°С.</w:t>
      </w:r>
    </w:p>
    <w:p w14:paraId="3BC1B543" w14:textId="77777777" w:rsidR="0013593A" w:rsidRPr="00F46AB0" w:rsidRDefault="0013593A" w:rsidP="0013593A">
      <w:pPr>
        <w:ind w:firstLine="425"/>
        <w:jc w:val="both"/>
        <w:rPr>
          <w:b/>
          <w:lang w:val="uk-UA"/>
        </w:rPr>
      </w:pPr>
      <w:r w:rsidRPr="00F46AB0">
        <w:rPr>
          <w:b/>
          <w:lang w:val="uk-UA"/>
        </w:rPr>
        <w:t>6.3 Особливі заходи зберігання</w:t>
      </w:r>
    </w:p>
    <w:p w14:paraId="3BC1B544" w14:textId="77777777" w:rsidR="0013593A" w:rsidRPr="00F46AB0" w:rsidRDefault="0013593A" w:rsidP="0013593A">
      <w:pPr>
        <w:ind w:firstLine="425"/>
        <w:jc w:val="both"/>
        <w:rPr>
          <w:snapToGrid w:val="0"/>
          <w:lang w:val="uk-UA"/>
        </w:rPr>
      </w:pPr>
      <w:r w:rsidRPr="00F46AB0">
        <w:rPr>
          <w:snapToGrid w:val="0"/>
          <w:lang w:val="uk-UA"/>
        </w:rPr>
        <w:t>Темне, недоступне для дітей місце за температури від 5 до 25</w:t>
      </w:r>
      <w:r w:rsidR="00063171" w:rsidRPr="00F46AB0">
        <w:rPr>
          <w:snapToGrid w:val="0"/>
          <w:lang w:val="uk-UA"/>
        </w:rPr>
        <w:t xml:space="preserve"> </w:t>
      </w:r>
      <w:r w:rsidRPr="00F46AB0">
        <w:rPr>
          <w:snapToGrid w:val="0"/>
          <w:lang w:val="uk-UA"/>
        </w:rPr>
        <w:t xml:space="preserve">°С. </w:t>
      </w:r>
    </w:p>
    <w:p w14:paraId="3BC1B545" w14:textId="77777777" w:rsidR="0013593A" w:rsidRPr="00F46AB0" w:rsidRDefault="0013593A" w:rsidP="0013593A">
      <w:pPr>
        <w:ind w:firstLine="425"/>
        <w:jc w:val="both"/>
        <w:rPr>
          <w:b/>
          <w:lang w:val="uk-UA"/>
        </w:rPr>
      </w:pPr>
      <w:r w:rsidRPr="00F46AB0">
        <w:rPr>
          <w:b/>
          <w:lang w:val="uk-UA"/>
        </w:rPr>
        <w:t>6.4 Природа і склад контейнера первинного упакування</w:t>
      </w:r>
    </w:p>
    <w:p w14:paraId="3BC1B546" w14:textId="77777777" w:rsidR="0013593A" w:rsidRPr="00F46AB0" w:rsidRDefault="0013593A" w:rsidP="0013593A">
      <w:pPr>
        <w:ind w:firstLine="425"/>
        <w:jc w:val="both"/>
        <w:rPr>
          <w:lang w:val="uk-UA"/>
        </w:rPr>
      </w:pPr>
      <w:r w:rsidRPr="00F46AB0">
        <w:rPr>
          <w:lang w:val="uk-UA"/>
        </w:rPr>
        <w:t>Скляні флакони з темного скла, закриті гумовими пробками під алюмінієву обкатку по 10,0; 50,0; 100,0 мл.</w:t>
      </w:r>
    </w:p>
    <w:p w14:paraId="3BC1B547" w14:textId="77777777" w:rsidR="0013593A" w:rsidRPr="00F46AB0" w:rsidRDefault="0013593A" w:rsidP="0013593A">
      <w:pPr>
        <w:ind w:firstLine="425"/>
        <w:jc w:val="both"/>
        <w:rPr>
          <w:b/>
          <w:lang w:val="uk-UA"/>
        </w:rPr>
      </w:pPr>
      <w:r w:rsidRPr="00F46AB0">
        <w:rPr>
          <w:b/>
          <w:lang w:val="uk-UA"/>
        </w:rPr>
        <w:t>6.5 Особливі заходи безпеки при поводженні з невикористаним препаратом або з його залишками</w:t>
      </w:r>
    </w:p>
    <w:p w14:paraId="3BC1B548" w14:textId="77777777" w:rsidR="0013593A" w:rsidRPr="00F46AB0" w:rsidRDefault="0013593A" w:rsidP="0013593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b/>
          <w:lang w:val="uk-UA"/>
        </w:rPr>
      </w:pPr>
      <w:r w:rsidRPr="00F46AB0">
        <w:rPr>
          <w:spacing w:val="-1"/>
          <w:lang w:val="uk-UA"/>
        </w:rPr>
        <w:tab/>
        <w:t>Порожню упаковку та залишки невикористаного препарату потрібно утилізувати згідно з чинним законодавством.</w:t>
      </w:r>
    </w:p>
    <w:p w14:paraId="3BC1B549" w14:textId="77777777" w:rsidR="0013593A" w:rsidRPr="00F46AB0" w:rsidRDefault="0013593A" w:rsidP="0013593A">
      <w:pPr>
        <w:ind w:firstLine="425"/>
        <w:jc w:val="both"/>
        <w:rPr>
          <w:b/>
          <w:lang w:val="uk-UA"/>
        </w:rPr>
      </w:pPr>
      <w:r w:rsidRPr="00F46AB0">
        <w:rPr>
          <w:b/>
          <w:lang w:val="uk-UA"/>
        </w:rPr>
        <w:t xml:space="preserve">7. Назва та місцезнаходження власника реєстраційного посвідчення </w:t>
      </w:r>
    </w:p>
    <w:p w14:paraId="3BC1B54A" w14:textId="77777777" w:rsidR="0013593A" w:rsidRPr="00F46AB0" w:rsidRDefault="0013593A" w:rsidP="0013593A">
      <w:pPr>
        <w:ind w:firstLine="425"/>
        <w:jc w:val="both"/>
      </w:pPr>
      <w:r w:rsidRPr="00F46AB0">
        <w:t>ТОВ «БІОТЕСТЛАБ»</w:t>
      </w:r>
    </w:p>
    <w:p w14:paraId="3BC1B54B" w14:textId="77777777" w:rsidR="0013593A" w:rsidRPr="00F46AB0" w:rsidRDefault="0013593A" w:rsidP="0013593A">
      <w:pPr>
        <w:ind w:firstLine="425"/>
        <w:jc w:val="both"/>
      </w:pPr>
      <w:proofErr w:type="spellStart"/>
      <w:r w:rsidRPr="00F46AB0">
        <w:t>Україна</w:t>
      </w:r>
      <w:proofErr w:type="spellEnd"/>
      <w:r w:rsidRPr="00F46AB0">
        <w:t xml:space="preserve">, 08600, </w:t>
      </w:r>
      <w:proofErr w:type="spellStart"/>
      <w:r w:rsidRPr="00F46AB0">
        <w:t>Київська</w:t>
      </w:r>
      <w:proofErr w:type="spellEnd"/>
      <w:r w:rsidRPr="00F46AB0">
        <w:t xml:space="preserve"> обл., м. </w:t>
      </w:r>
      <w:proofErr w:type="spellStart"/>
      <w:r w:rsidRPr="00F46AB0">
        <w:t>Васильків</w:t>
      </w:r>
      <w:proofErr w:type="spellEnd"/>
      <w:r w:rsidRPr="00F46AB0">
        <w:t xml:space="preserve">, </w:t>
      </w:r>
      <w:proofErr w:type="spellStart"/>
      <w:r w:rsidRPr="00F46AB0">
        <w:t>вул</w:t>
      </w:r>
      <w:proofErr w:type="spellEnd"/>
      <w:r w:rsidRPr="00F46AB0">
        <w:t xml:space="preserve">. </w:t>
      </w:r>
      <w:proofErr w:type="spellStart"/>
      <w:r w:rsidRPr="00F46AB0">
        <w:t>Володимирська</w:t>
      </w:r>
      <w:proofErr w:type="spellEnd"/>
      <w:r w:rsidRPr="00F46AB0">
        <w:t>, 57.</w:t>
      </w:r>
    </w:p>
    <w:p w14:paraId="3BC1B54C" w14:textId="77777777" w:rsidR="0013593A" w:rsidRPr="00F46AB0" w:rsidRDefault="0013593A" w:rsidP="0013593A">
      <w:pPr>
        <w:ind w:firstLine="425"/>
        <w:jc w:val="both"/>
        <w:rPr>
          <w:b/>
          <w:lang w:val="uk-UA"/>
        </w:rPr>
      </w:pPr>
      <w:r w:rsidRPr="00F46AB0">
        <w:rPr>
          <w:b/>
          <w:lang w:val="uk-UA"/>
        </w:rPr>
        <w:t>8. Назва та місцезнаходження виробника (виробників)</w:t>
      </w:r>
    </w:p>
    <w:p w14:paraId="3BC1B54D" w14:textId="77777777" w:rsidR="0013593A" w:rsidRPr="00F46AB0" w:rsidRDefault="0013593A" w:rsidP="0013593A">
      <w:pPr>
        <w:ind w:firstLine="425"/>
        <w:jc w:val="both"/>
      </w:pPr>
      <w:r w:rsidRPr="00F46AB0">
        <w:t>ТОВ «БІОТЕСТЛАБ»</w:t>
      </w:r>
    </w:p>
    <w:p w14:paraId="3BC1B54E" w14:textId="77777777" w:rsidR="0013593A" w:rsidRPr="00F46AB0" w:rsidRDefault="0013593A" w:rsidP="0013593A">
      <w:pPr>
        <w:ind w:firstLine="425"/>
        <w:jc w:val="both"/>
      </w:pPr>
      <w:proofErr w:type="spellStart"/>
      <w:r w:rsidRPr="00F46AB0">
        <w:t>Україна</w:t>
      </w:r>
      <w:proofErr w:type="spellEnd"/>
      <w:r w:rsidRPr="00F46AB0">
        <w:t xml:space="preserve">, 08600, </w:t>
      </w:r>
      <w:proofErr w:type="spellStart"/>
      <w:r w:rsidRPr="00F46AB0">
        <w:t>Київська</w:t>
      </w:r>
      <w:proofErr w:type="spellEnd"/>
      <w:r w:rsidRPr="00F46AB0">
        <w:t xml:space="preserve"> обл., м. </w:t>
      </w:r>
      <w:proofErr w:type="spellStart"/>
      <w:r w:rsidRPr="00F46AB0">
        <w:t>Васильків</w:t>
      </w:r>
      <w:proofErr w:type="spellEnd"/>
      <w:r w:rsidRPr="00F46AB0">
        <w:t xml:space="preserve">, </w:t>
      </w:r>
      <w:proofErr w:type="spellStart"/>
      <w:r w:rsidRPr="00F46AB0">
        <w:t>вул</w:t>
      </w:r>
      <w:proofErr w:type="spellEnd"/>
      <w:r w:rsidRPr="00F46AB0">
        <w:t xml:space="preserve">. </w:t>
      </w:r>
      <w:proofErr w:type="spellStart"/>
      <w:r w:rsidRPr="00F46AB0">
        <w:t>Лістрового</w:t>
      </w:r>
      <w:proofErr w:type="spellEnd"/>
      <w:r w:rsidRPr="00F46AB0">
        <w:t xml:space="preserve"> Олександра, буд. 1/3. </w:t>
      </w:r>
    </w:p>
    <w:p w14:paraId="3BC1B54F" w14:textId="77777777" w:rsidR="0013593A" w:rsidRPr="00F46AB0" w:rsidRDefault="0013593A" w:rsidP="0013593A">
      <w:pPr>
        <w:ind w:firstLine="425"/>
        <w:jc w:val="both"/>
        <w:rPr>
          <w:rFonts w:eastAsia="Calibri"/>
          <w:b/>
        </w:rPr>
      </w:pPr>
      <w:hyperlink r:id="rId7" w:history="1">
        <w:r w:rsidRPr="00F46AB0">
          <w:rPr>
            <w:rFonts w:eastAsia="Arial Unicode MS"/>
            <w:u w:val="single"/>
          </w:rPr>
          <w:t>www.biotestlab.ua</w:t>
        </w:r>
      </w:hyperlink>
    </w:p>
    <w:p w14:paraId="3BC1B550" w14:textId="77777777" w:rsidR="0013593A" w:rsidRPr="00F46AB0" w:rsidRDefault="0013593A" w:rsidP="0013593A">
      <w:pPr>
        <w:ind w:firstLine="425"/>
        <w:jc w:val="both"/>
        <w:rPr>
          <w:b/>
          <w:lang w:val="uk-UA"/>
        </w:rPr>
      </w:pPr>
      <w:r w:rsidRPr="00F46AB0">
        <w:rPr>
          <w:b/>
          <w:lang w:val="uk-UA"/>
        </w:rPr>
        <w:t xml:space="preserve">9. Додаткова інформація </w:t>
      </w:r>
    </w:p>
    <w:p w14:paraId="3BC1B551" w14:textId="77777777" w:rsidR="0013593A" w:rsidRPr="00F46AB0" w:rsidRDefault="0013593A" w:rsidP="0013593A">
      <w:pPr>
        <w:ind w:firstLine="425"/>
        <w:jc w:val="both"/>
        <w:rPr>
          <w:b/>
          <w:bCs/>
          <w:lang w:val="uk-UA"/>
        </w:rPr>
      </w:pPr>
      <w:r w:rsidRPr="00F46AB0">
        <w:rPr>
          <w:bCs/>
          <w:lang w:val="uk-UA"/>
        </w:rPr>
        <w:t>Відсутня</w:t>
      </w:r>
      <w:r w:rsidRPr="00F46AB0">
        <w:rPr>
          <w:b/>
          <w:bCs/>
          <w:lang w:val="uk-UA"/>
        </w:rPr>
        <w:t>.</w:t>
      </w:r>
    </w:p>
    <w:p w14:paraId="3BC1B552" w14:textId="77777777" w:rsidR="0013593A" w:rsidRPr="00F46AB0" w:rsidRDefault="0013593A" w:rsidP="0013593A">
      <w:pPr>
        <w:ind w:firstLine="425"/>
      </w:pPr>
    </w:p>
    <w:p w14:paraId="3BC1B553" w14:textId="77777777" w:rsidR="0013593A" w:rsidRPr="00F46AB0" w:rsidRDefault="0013593A">
      <w:pPr>
        <w:ind w:firstLine="425"/>
      </w:pPr>
    </w:p>
    <w:sectPr w:rsidR="0013593A" w:rsidRPr="00F46AB0" w:rsidSect="00CD3320">
      <w:headerReference w:type="default" r:id="rId8"/>
      <w:headerReference w:type="first" r:id="rId9"/>
      <w:pgSz w:w="11906" w:h="16838"/>
      <w:pgMar w:top="567" w:right="454" w:bottom="45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1B556" w14:textId="77777777" w:rsidR="00CD3320" w:rsidRDefault="00CD3320" w:rsidP="00CD3320">
      <w:r>
        <w:separator/>
      </w:r>
    </w:p>
  </w:endnote>
  <w:endnote w:type="continuationSeparator" w:id="0">
    <w:p w14:paraId="3BC1B557" w14:textId="77777777" w:rsidR="00CD3320" w:rsidRDefault="00CD3320" w:rsidP="00CD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1B554" w14:textId="77777777" w:rsidR="00CD3320" w:rsidRDefault="00CD3320" w:rsidP="00CD3320">
      <w:r>
        <w:separator/>
      </w:r>
    </w:p>
  </w:footnote>
  <w:footnote w:type="continuationSeparator" w:id="0">
    <w:p w14:paraId="3BC1B555" w14:textId="77777777" w:rsidR="00CD3320" w:rsidRDefault="00CD3320" w:rsidP="00CD3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1B558" w14:textId="77777777" w:rsidR="00CD3320" w:rsidRPr="00877901" w:rsidRDefault="00CD3320" w:rsidP="00CD3320">
    <w:pPr>
      <w:widowControl w:val="0"/>
      <w:ind w:firstLine="425"/>
      <w:jc w:val="right"/>
      <w:rPr>
        <w:bCs/>
        <w:color w:val="000000"/>
        <w:spacing w:val="3"/>
      </w:rPr>
    </w:pPr>
    <w:proofErr w:type="spellStart"/>
    <w:r>
      <w:rPr>
        <w:bCs/>
        <w:color w:val="000000"/>
        <w:spacing w:val="3"/>
      </w:rPr>
      <w:t>Продовження</w:t>
    </w:r>
    <w:proofErr w:type="spellEnd"/>
    <w:r>
      <w:rPr>
        <w:bCs/>
        <w:color w:val="000000"/>
        <w:spacing w:val="3"/>
      </w:rPr>
      <w:t xml:space="preserve"> </w:t>
    </w:r>
    <w:proofErr w:type="spellStart"/>
    <w:r>
      <w:rPr>
        <w:bCs/>
        <w:color w:val="000000"/>
        <w:spacing w:val="3"/>
      </w:rPr>
      <w:t>Додат</w:t>
    </w:r>
    <w:r w:rsidRPr="00877901">
      <w:rPr>
        <w:bCs/>
        <w:color w:val="000000"/>
        <w:spacing w:val="3"/>
      </w:rPr>
      <w:t>к</w:t>
    </w:r>
    <w:r>
      <w:rPr>
        <w:bCs/>
        <w:color w:val="000000"/>
        <w:spacing w:val="3"/>
      </w:rPr>
      <w:t>у</w:t>
    </w:r>
    <w:proofErr w:type="spellEnd"/>
    <w:r w:rsidRPr="00877901">
      <w:rPr>
        <w:bCs/>
        <w:color w:val="000000"/>
        <w:spacing w:val="3"/>
      </w:rPr>
      <w:t xml:space="preserve"> 1 </w:t>
    </w:r>
  </w:p>
  <w:p w14:paraId="3BC1B559" w14:textId="77777777" w:rsidR="00CD3320" w:rsidRPr="00877901" w:rsidRDefault="00CD3320" w:rsidP="00CD3320">
    <w:pPr>
      <w:widowControl w:val="0"/>
      <w:ind w:firstLine="425"/>
      <w:jc w:val="right"/>
      <w:rPr>
        <w:bCs/>
        <w:color w:val="000000"/>
        <w:spacing w:val="3"/>
      </w:rPr>
    </w:pPr>
    <w:r w:rsidRPr="00877901">
      <w:rPr>
        <w:bCs/>
        <w:color w:val="000000"/>
        <w:spacing w:val="3"/>
      </w:rPr>
      <w:t xml:space="preserve">до </w:t>
    </w:r>
    <w:proofErr w:type="spellStart"/>
    <w:r w:rsidRPr="00877901">
      <w:rPr>
        <w:bCs/>
        <w:color w:val="000000"/>
        <w:spacing w:val="3"/>
      </w:rPr>
      <w:t>реєстраційного</w:t>
    </w:r>
    <w:proofErr w:type="spellEnd"/>
    <w:r w:rsidRPr="00877901">
      <w:rPr>
        <w:bCs/>
        <w:color w:val="000000"/>
        <w:spacing w:val="3"/>
      </w:rPr>
      <w:t xml:space="preserve"> </w:t>
    </w:r>
    <w:proofErr w:type="spellStart"/>
    <w:r w:rsidRPr="00877901">
      <w:rPr>
        <w:bCs/>
        <w:color w:val="000000"/>
        <w:spacing w:val="3"/>
      </w:rPr>
      <w:t>посвідчення</w:t>
    </w:r>
    <w:proofErr w:type="spellEnd"/>
    <w:r>
      <w:rPr>
        <w:bCs/>
        <w:color w:val="000000"/>
        <w:spacing w:val="3"/>
      </w:rPr>
      <w:t xml:space="preserve"> №</w:t>
    </w:r>
    <w:r w:rsidR="00885998" w:rsidRPr="00885998">
      <w:rPr>
        <w:color w:val="000000"/>
        <w:sz w:val="28"/>
        <w:szCs w:val="28"/>
        <w:lang w:val="uk-UA" w:eastAsia="uk-UA"/>
      </w:rPr>
      <w:t xml:space="preserve"> </w:t>
    </w:r>
    <w:r w:rsidR="00885998" w:rsidRPr="00885998">
      <w:rPr>
        <w:bCs/>
        <w:color w:val="000000"/>
        <w:spacing w:val="3"/>
        <w:lang w:val="uk-UA"/>
      </w:rPr>
      <w:t>АВ-05766-01-15</w:t>
    </w:r>
  </w:p>
  <w:p w14:paraId="3BC1B55A" w14:textId="77777777" w:rsidR="00CD3320" w:rsidRPr="00CD3320" w:rsidRDefault="00CD332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1B55B" w14:textId="77777777" w:rsidR="00CD3320" w:rsidRPr="00877901" w:rsidRDefault="00CD3320" w:rsidP="00CD3320">
    <w:pPr>
      <w:widowControl w:val="0"/>
      <w:ind w:firstLine="425"/>
      <w:jc w:val="right"/>
      <w:rPr>
        <w:bCs/>
        <w:color w:val="000000"/>
        <w:spacing w:val="3"/>
      </w:rPr>
    </w:pPr>
    <w:proofErr w:type="spellStart"/>
    <w:r w:rsidRPr="00877901">
      <w:rPr>
        <w:bCs/>
        <w:color w:val="000000"/>
        <w:spacing w:val="3"/>
      </w:rPr>
      <w:t>Додаток</w:t>
    </w:r>
    <w:proofErr w:type="spellEnd"/>
    <w:r w:rsidRPr="00877901">
      <w:rPr>
        <w:bCs/>
        <w:color w:val="000000"/>
        <w:spacing w:val="3"/>
      </w:rPr>
      <w:t xml:space="preserve"> 1 </w:t>
    </w:r>
  </w:p>
  <w:p w14:paraId="3BC1B55C" w14:textId="77777777" w:rsidR="00CD3320" w:rsidRPr="00877901" w:rsidRDefault="00CD3320" w:rsidP="00CD3320">
    <w:pPr>
      <w:widowControl w:val="0"/>
      <w:ind w:firstLine="425"/>
      <w:jc w:val="right"/>
      <w:rPr>
        <w:bCs/>
        <w:color w:val="000000"/>
        <w:spacing w:val="3"/>
      </w:rPr>
    </w:pPr>
    <w:r w:rsidRPr="00877901">
      <w:rPr>
        <w:bCs/>
        <w:color w:val="000000"/>
        <w:spacing w:val="3"/>
      </w:rPr>
      <w:t xml:space="preserve">до </w:t>
    </w:r>
    <w:proofErr w:type="spellStart"/>
    <w:r w:rsidRPr="00877901">
      <w:rPr>
        <w:bCs/>
        <w:color w:val="000000"/>
        <w:spacing w:val="3"/>
      </w:rPr>
      <w:t>реєстраційного</w:t>
    </w:r>
    <w:proofErr w:type="spellEnd"/>
    <w:r w:rsidRPr="00877901">
      <w:rPr>
        <w:bCs/>
        <w:color w:val="000000"/>
        <w:spacing w:val="3"/>
      </w:rPr>
      <w:t xml:space="preserve"> </w:t>
    </w:r>
    <w:proofErr w:type="spellStart"/>
    <w:r w:rsidRPr="00877901">
      <w:rPr>
        <w:bCs/>
        <w:color w:val="000000"/>
        <w:spacing w:val="3"/>
      </w:rPr>
      <w:t>посвідчення</w:t>
    </w:r>
    <w:proofErr w:type="spellEnd"/>
    <w:r w:rsidRPr="00877901">
      <w:rPr>
        <w:bCs/>
        <w:color w:val="000000"/>
        <w:spacing w:val="3"/>
      </w:rPr>
      <w:t xml:space="preserve"> </w:t>
    </w:r>
    <w:r w:rsidR="00885998">
      <w:rPr>
        <w:bCs/>
        <w:color w:val="000000"/>
        <w:spacing w:val="3"/>
        <w:lang w:val="uk-UA"/>
      </w:rPr>
      <w:t xml:space="preserve">№ </w:t>
    </w:r>
    <w:r w:rsidR="00885998" w:rsidRPr="00885998">
      <w:rPr>
        <w:bCs/>
        <w:color w:val="000000"/>
        <w:spacing w:val="3"/>
        <w:lang w:val="uk-UA"/>
      </w:rPr>
      <w:t>АВ-05766-01-15</w:t>
    </w:r>
  </w:p>
  <w:p w14:paraId="3BC1B55D" w14:textId="77777777" w:rsidR="00CD3320" w:rsidRPr="00CD3320" w:rsidRDefault="00CD332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C44"/>
    <w:multiLevelType w:val="multilevel"/>
    <w:tmpl w:val="200CB630"/>
    <w:lvl w:ilvl="0">
      <w:start w:val="6"/>
      <w:numFmt w:val="decimal"/>
      <w:lvlText w:val="%1"/>
      <w:lvlJc w:val="left"/>
      <w:pPr>
        <w:ind w:left="375" w:hanging="375"/>
      </w:pPr>
      <w:rPr>
        <w:rFonts w:hint="default"/>
        <w:color w:val="000000"/>
      </w:rPr>
    </w:lvl>
    <w:lvl w:ilvl="1">
      <w:start w:val="1"/>
      <w:numFmt w:val="decimal"/>
      <w:lvlText w:val="%1.%2"/>
      <w:lvlJc w:val="left"/>
      <w:pPr>
        <w:ind w:left="801" w:hanging="375"/>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1" w15:restartNumberingAfterBreak="0">
    <w:nsid w:val="07C42114"/>
    <w:multiLevelType w:val="hybridMultilevel"/>
    <w:tmpl w:val="A76C4DD4"/>
    <w:lvl w:ilvl="0" w:tplc="CAACBF4E">
      <w:start w:val="1"/>
      <w:numFmt w:val="decimal"/>
      <w:lvlText w:val="%1."/>
      <w:lvlJc w:val="left"/>
      <w:pPr>
        <w:ind w:left="2632" w:hanging="360"/>
      </w:pPr>
      <w:rPr>
        <w:rFonts w:hint="default"/>
        <w:color w:val="000000"/>
      </w:rPr>
    </w:lvl>
    <w:lvl w:ilvl="1" w:tplc="04190019" w:tentative="1">
      <w:start w:val="1"/>
      <w:numFmt w:val="lowerLetter"/>
      <w:lvlText w:val="%2."/>
      <w:lvlJc w:val="left"/>
      <w:pPr>
        <w:ind w:left="3352" w:hanging="360"/>
      </w:pPr>
    </w:lvl>
    <w:lvl w:ilvl="2" w:tplc="0419001B" w:tentative="1">
      <w:start w:val="1"/>
      <w:numFmt w:val="lowerRoman"/>
      <w:lvlText w:val="%3."/>
      <w:lvlJc w:val="right"/>
      <w:pPr>
        <w:ind w:left="4072" w:hanging="180"/>
      </w:pPr>
    </w:lvl>
    <w:lvl w:ilvl="3" w:tplc="0419000F" w:tentative="1">
      <w:start w:val="1"/>
      <w:numFmt w:val="decimal"/>
      <w:lvlText w:val="%4."/>
      <w:lvlJc w:val="left"/>
      <w:pPr>
        <w:ind w:left="4792" w:hanging="360"/>
      </w:pPr>
    </w:lvl>
    <w:lvl w:ilvl="4" w:tplc="04190019" w:tentative="1">
      <w:start w:val="1"/>
      <w:numFmt w:val="lowerLetter"/>
      <w:lvlText w:val="%5."/>
      <w:lvlJc w:val="left"/>
      <w:pPr>
        <w:ind w:left="5512" w:hanging="360"/>
      </w:pPr>
    </w:lvl>
    <w:lvl w:ilvl="5" w:tplc="0419001B" w:tentative="1">
      <w:start w:val="1"/>
      <w:numFmt w:val="lowerRoman"/>
      <w:lvlText w:val="%6."/>
      <w:lvlJc w:val="right"/>
      <w:pPr>
        <w:ind w:left="6232" w:hanging="180"/>
      </w:pPr>
    </w:lvl>
    <w:lvl w:ilvl="6" w:tplc="0419000F" w:tentative="1">
      <w:start w:val="1"/>
      <w:numFmt w:val="decimal"/>
      <w:lvlText w:val="%7."/>
      <w:lvlJc w:val="left"/>
      <w:pPr>
        <w:ind w:left="6952" w:hanging="360"/>
      </w:pPr>
    </w:lvl>
    <w:lvl w:ilvl="7" w:tplc="04190019" w:tentative="1">
      <w:start w:val="1"/>
      <w:numFmt w:val="lowerLetter"/>
      <w:lvlText w:val="%8."/>
      <w:lvlJc w:val="left"/>
      <w:pPr>
        <w:ind w:left="7672" w:hanging="360"/>
      </w:pPr>
    </w:lvl>
    <w:lvl w:ilvl="8" w:tplc="0419001B" w:tentative="1">
      <w:start w:val="1"/>
      <w:numFmt w:val="lowerRoman"/>
      <w:lvlText w:val="%9."/>
      <w:lvlJc w:val="right"/>
      <w:pPr>
        <w:ind w:left="8392" w:hanging="180"/>
      </w:pPr>
    </w:lvl>
  </w:abstractNum>
  <w:abstractNum w:abstractNumId="2" w15:restartNumberingAfterBreak="0">
    <w:nsid w:val="144A144B"/>
    <w:multiLevelType w:val="multilevel"/>
    <w:tmpl w:val="8A5215A0"/>
    <w:lvl w:ilvl="0">
      <w:start w:val="5"/>
      <w:numFmt w:val="decimal"/>
      <w:lvlText w:val="%1"/>
      <w:lvlJc w:val="left"/>
      <w:pPr>
        <w:ind w:left="375" w:hanging="375"/>
      </w:pPr>
      <w:rPr>
        <w:rFonts w:hint="default"/>
        <w:color w:val="000000"/>
      </w:rPr>
    </w:lvl>
    <w:lvl w:ilvl="1">
      <w:start w:val="1"/>
      <w:numFmt w:val="decimal"/>
      <w:lvlText w:val="%1.%2"/>
      <w:lvlJc w:val="left"/>
      <w:pPr>
        <w:ind w:left="801" w:hanging="375"/>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3" w15:restartNumberingAfterBreak="0">
    <w:nsid w:val="42336A8B"/>
    <w:multiLevelType w:val="multilevel"/>
    <w:tmpl w:val="958EEC94"/>
    <w:lvl w:ilvl="0">
      <w:start w:val="7"/>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8"/>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B644B6"/>
    <w:multiLevelType w:val="hybridMultilevel"/>
    <w:tmpl w:val="2D081688"/>
    <w:lvl w:ilvl="0" w:tplc="970A021C">
      <w:start w:val="2"/>
      <w:numFmt w:val="decimal"/>
      <w:lvlText w:val="%1."/>
      <w:lvlJc w:val="left"/>
      <w:pPr>
        <w:ind w:left="502" w:hanging="360"/>
      </w:pPr>
      <w:rPr>
        <w:rFonts w:hint="default"/>
        <w:color w:val="00000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68101098">
    <w:abstractNumId w:val="4"/>
  </w:num>
  <w:num w:numId="2" w16cid:durableId="2131434353">
    <w:abstractNumId w:val="2"/>
  </w:num>
  <w:num w:numId="3" w16cid:durableId="1677656602">
    <w:abstractNumId w:val="1"/>
  </w:num>
  <w:num w:numId="4" w16cid:durableId="1681740483">
    <w:abstractNumId w:val="0"/>
  </w:num>
  <w:num w:numId="5" w16cid:durableId="1904438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0F1B"/>
    <w:rsid w:val="0000343E"/>
    <w:rsid w:val="000333A8"/>
    <w:rsid w:val="00063171"/>
    <w:rsid w:val="00090590"/>
    <w:rsid w:val="000D2B6D"/>
    <w:rsid w:val="0012607A"/>
    <w:rsid w:val="001315EB"/>
    <w:rsid w:val="0013593A"/>
    <w:rsid w:val="00146A7D"/>
    <w:rsid w:val="00147495"/>
    <w:rsid w:val="002258C7"/>
    <w:rsid w:val="003A0039"/>
    <w:rsid w:val="00420F1B"/>
    <w:rsid w:val="004A0315"/>
    <w:rsid w:val="004B5C41"/>
    <w:rsid w:val="004C4E9B"/>
    <w:rsid w:val="0058188C"/>
    <w:rsid w:val="005903D3"/>
    <w:rsid w:val="00617F16"/>
    <w:rsid w:val="00621681"/>
    <w:rsid w:val="006E5D0E"/>
    <w:rsid w:val="00743730"/>
    <w:rsid w:val="007E0B80"/>
    <w:rsid w:val="007F1E81"/>
    <w:rsid w:val="00816169"/>
    <w:rsid w:val="00872A69"/>
    <w:rsid w:val="00877901"/>
    <w:rsid w:val="00885998"/>
    <w:rsid w:val="00A41F97"/>
    <w:rsid w:val="00A73D66"/>
    <w:rsid w:val="00B265AF"/>
    <w:rsid w:val="00B55FED"/>
    <w:rsid w:val="00B61699"/>
    <w:rsid w:val="00B86105"/>
    <w:rsid w:val="00BB6CBE"/>
    <w:rsid w:val="00C25399"/>
    <w:rsid w:val="00C50957"/>
    <w:rsid w:val="00CA606C"/>
    <w:rsid w:val="00CD3320"/>
    <w:rsid w:val="00D03927"/>
    <w:rsid w:val="00D03ED3"/>
    <w:rsid w:val="00DC7DE5"/>
    <w:rsid w:val="00E22F1D"/>
    <w:rsid w:val="00F46AB0"/>
    <w:rsid w:val="00FA2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B503"/>
  <w15:docId w15:val="{9FBFF8B5-4B39-4D13-8F06-05AA0F9D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9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link w:val="a3"/>
    <w:rsid w:val="00420F1B"/>
    <w:pPr>
      <w:widowControl w:val="0"/>
      <w:shd w:val="clear" w:color="auto" w:fill="FFFFFF"/>
      <w:spacing w:after="60" w:line="0" w:lineRule="atLeast"/>
      <w:jc w:val="right"/>
    </w:pPr>
    <w:rPr>
      <w:spacing w:val="2"/>
    </w:rPr>
  </w:style>
  <w:style w:type="character" w:customStyle="1" w:styleId="a3">
    <w:name w:val="Основной текст_"/>
    <w:basedOn w:val="a0"/>
    <w:link w:val="1"/>
    <w:rsid w:val="0012607A"/>
    <w:rPr>
      <w:rFonts w:ascii="Times New Roman" w:eastAsia="Times New Roman" w:hAnsi="Times New Roman" w:cs="Times New Roman"/>
      <w:spacing w:val="2"/>
      <w:shd w:val="clear" w:color="auto" w:fill="FFFFFF"/>
    </w:rPr>
  </w:style>
  <w:style w:type="paragraph" w:styleId="a4">
    <w:name w:val="List Paragraph"/>
    <w:basedOn w:val="a"/>
    <w:uiPriority w:val="34"/>
    <w:qFormat/>
    <w:rsid w:val="00CA606C"/>
    <w:pPr>
      <w:ind w:left="720"/>
      <w:contextualSpacing/>
    </w:pPr>
  </w:style>
  <w:style w:type="table" w:styleId="a5">
    <w:name w:val="Table Grid"/>
    <w:basedOn w:val="a1"/>
    <w:uiPriority w:val="59"/>
    <w:rsid w:val="00B86105"/>
    <w:pPr>
      <w:spacing w:after="0" w:line="240" w:lineRule="auto"/>
      <w:jc w:val="center"/>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a0"/>
    <w:link w:val="Bodytext30"/>
    <w:locked/>
    <w:rsid w:val="00A73D66"/>
    <w:rPr>
      <w:rFonts w:ascii="Times New Roman" w:hAnsi="Times New Roman" w:cs="Times New Roman"/>
      <w:i/>
      <w:iCs/>
      <w:shd w:val="clear" w:color="auto" w:fill="FFFFFF"/>
      <w:lang w:val="en-US"/>
    </w:rPr>
  </w:style>
  <w:style w:type="paragraph" w:customStyle="1" w:styleId="Bodytext30">
    <w:name w:val="Body text (3)"/>
    <w:basedOn w:val="a"/>
    <w:link w:val="Bodytext3"/>
    <w:rsid w:val="00A73D66"/>
    <w:pPr>
      <w:widowControl w:val="0"/>
      <w:shd w:val="clear" w:color="auto" w:fill="FFFFFF"/>
      <w:spacing w:line="274" w:lineRule="exact"/>
      <w:jc w:val="both"/>
    </w:pPr>
    <w:rPr>
      <w:i/>
      <w:iCs/>
      <w:lang w:val="en-US"/>
    </w:rPr>
  </w:style>
  <w:style w:type="paragraph" w:styleId="a6">
    <w:name w:val="header"/>
    <w:basedOn w:val="a"/>
    <w:link w:val="a7"/>
    <w:uiPriority w:val="99"/>
    <w:semiHidden/>
    <w:unhideWhenUsed/>
    <w:rsid w:val="00CD3320"/>
    <w:pPr>
      <w:tabs>
        <w:tab w:val="center" w:pos="4677"/>
        <w:tab w:val="right" w:pos="9355"/>
      </w:tabs>
    </w:pPr>
  </w:style>
  <w:style w:type="character" w:customStyle="1" w:styleId="a7">
    <w:name w:val="Верхній колонтитул Знак"/>
    <w:basedOn w:val="a0"/>
    <w:link w:val="a6"/>
    <w:uiPriority w:val="99"/>
    <w:semiHidden/>
    <w:rsid w:val="00CD3320"/>
    <w:rPr>
      <w:lang w:val="en-GB"/>
    </w:rPr>
  </w:style>
  <w:style w:type="paragraph" w:styleId="a8">
    <w:name w:val="footer"/>
    <w:basedOn w:val="a"/>
    <w:link w:val="a9"/>
    <w:uiPriority w:val="99"/>
    <w:semiHidden/>
    <w:unhideWhenUsed/>
    <w:rsid w:val="00CD3320"/>
    <w:pPr>
      <w:tabs>
        <w:tab w:val="center" w:pos="4677"/>
        <w:tab w:val="right" w:pos="9355"/>
      </w:tabs>
    </w:pPr>
  </w:style>
  <w:style w:type="character" w:customStyle="1" w:styleId="a9">
    <w:name w:val="Нижній колонтитул Знак"/>
    <w:basedOn w:val="a0"/>
    <w:link w:val="a8"/>
    <w:uiPriority w:val="99"/>
    <w:semiHidden/>
    <w:rsid w:val="00CD3320"/>
    <w:rPr>
      <w:lang w:val="en-GB"/>
    </w:rPr>
  </w:style>
  <w:style w:type="character" w:styleId="aa">
    <w:name w:val="annotation reference"/>
    <w:basedOn w:val="a0"/>
    <w:uiPriority w:val="99"/>
    <w:semiHidden/>
    <w:unhideWhenUsed/>
    <w:rsid w:val="001315EB"/>
    <w:rPr>
      <w:sz w:val="16"/>
      <w:szCs w:val="16"/>
    </w:rPr>
  </w:style>
  <w:style w:type="paragraph" w:styleId="ab">
    <w:name w:val="annotation text"/>
    <w:basedOn w:val="a"/>
    <w:link w:val="ac"/>
    <w:uiPriority w:val="99"/>
    <w:semiHidden/>
    <w:unhideWhenUsed/>
    <w:rsid w:val="001315EB"/>
    <w:rPr>
      <w:sz w:val="20"/>
      <w:szCs w:val="20"/>
    </w:rPr>
  </w:style>
  <w:style w:type="character" w:customStyle="1" w:styleId="ac">
    <w:name w:val="Текст примітки Знак"/>
    <w:basedOn w:val="a0"/>
    <w:link w:val="ab"/>
    <w:uiPriority w:val="99"/>
    <w:semiHidden/>
    <w:rsid w:val="001315E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1315EB"/>
    <w:rPr>
      <w:b/>
      <w:bCs/>
    </w:rPr>
  </w:style>
  <w:style w:type="character" w:customStyle="1" w:styleId="ae">
    <w:name w:val="Тема примітки Знак"/>
    <w:basedOn w:val="ac"/>
    <w:link w:val="ad"/>
    <w:uiPriority w:val="99"/>
    <w:semiHidden/>
    <w:rsid w:val="001315EB"/>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1315EB"/>
    <w:rPr>
      <w:rFonts w:ascii="Tahoma" w:hAnsi="Tahoma" w:cs="Tahoma"/>
      <w:sz w:val="16"/>
      <w:szCs w:val="16"/>
    </w:rPr>
  </w:style>
  <w:style w:type="character" w:customStyle="1" w:styleId="af0">
    <w:name w:val="Текст у виносці Знак"/>
    <w:basedOn w:val="a0"/>
    <w:link w:val="af"/>
    <w:uiPriority w:val="99"/>
    <w:semiHidden/>
    <w:rsid w:val="001315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otestlab.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4926</Words>
  <Characters>2808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ARTLINE</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503</dc:creator>
  <cp:lastModifiedBy>Микола Верхолюк</cp:lastModifiedBy>
  <cp:revision>18</cp:revision>
  <cp:lastPrinted>2024-09-05T12:16:00Z</cp:lastPrinted>
  <dcterms:created xsi:type="dcterms:W3CDTF">2024-05-31T13:18:00Z</dcterms:created>
  <dcterms:modified xsi:type="dcterms:W3CDTF">2025-02-12T17:10:00Z</dcterms:modified>
</cp:coreProperties>
</file>