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76027" w14:textId="77777777" w:rsidR="00921962" w:rsidRPr="00921962" w:rsidRDefault="00921962" w:rsidP="009219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2196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Коротка характеристика препарату</w:t>
      </w:r>
    </w:p>
    <w:p w14:paraId="66E07B01" w14:textId="77777777" w:rsidR="00921962" w:rsidRPr="00921962" w:rsidRDefault="00921962" w:rsidP="00921962">
      <w:pPr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Назва</w:t>
      </w:r>
    </w:p>
    <w:p w14:paraId="4CDBB01A" w14:textId="77777777" w:rsidR="00921962" w:rsidRPr="00921962" w:rsidRDefault="00D6586C" w:rsidP="00921962">
      <w:pPr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ДЕНАМУЛІН</w:t>
      </w:r>
      <w:r w:rsidR="00C12D33" w:rsidRPr="00C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</w:p>
    <w:p w14:paraId="22FFAE03" w14:textId="77777777" w:rsidR="00921962" w:rsidRPr="00921962" w:rsidRDefault="0092196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70259" w:rsidRPr="00470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Склад</w:t>
      </w:r>
    </w:p>
    <w:p w14:paraId="45C37764" w14:textId="77777777" w:rsidR="00C12D33" w:rsidRPr="00C12D33" w:rsidRDefault="00C12D33" w:rsidP="00C12D33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n38"/>
      <w:bookmarkStart w:id="1" w:name="_Hlk480900976"/>
      <w:bookmarkEnd w:id="0"/>
      <w:r w:rsidRPr="00C12D33">
        <w:rPr>
          <w:rFonts w:ascii="Times New Roman" w:eastAsia="Calibri" w:hAnsi="Times New Roman" w:cs="Times New Roman"/>
          <w:sz w:val="24"/>
          <w:szCs w:val="24"/>
          <w:lang w:eastAsia="ru-RU"/>
        </w:rPr>
        <w:t>1 г препарату містить діючу речовину:</w:t>
      </w:r>
    </w:p>
    <w:p w14:paraId="76C80A0C" w14:textId="77777777" w:rsidR="00C12D33" w:rsidRPr="00C12D33" w:rsidRDefault="00C12D33" w:rsidP="00C12D33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2D33">
        <w:rPr>
          <w:rFonts w:ascii="Times New Roman" w:eastAsia="Calibri" w:hAnsi="Times New Roman" w:cs="Times New Roman"/>
          <w:sz w:val="24"/>
          <w:szCs w:val="24"/>
          <w:lang w:eastAsia="ru-RU"/>
        </w:rPr>
        <w:t>тіамуліну гідроген фумарат – 450 мг.</w:t>
      </w:r>
    </w:p>
    <w:p w14:paraId="73365C93" w14:textId="04AFD4E5" w:rsidR="000A23AA" w:rsidRPr="000A23AA" w:rsidRDefault="00C12D33" w:rsidP="00C12D33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2D33">
        <w:rPr>
          <w:rFonts w:ascii="Times New Roman" w:eastAsia="Calibri" w:hAnsi="Times New Roman" w:cs="Times New Roman"/>
          <w:sz w:val="24"/>
          <w:szCs w:val="24"/>
          <w:lang w:eastAsia="ru-RU"/>
        </w:rPr>
        <w:t>Допоміжна речовина: лактози моногідрат.</w:t>
      </w:r>
    </w:p>
    <w:bookmarkEnd w:id="1"/>
    <w:p w14:paraId="078A7B1A" w14:textId="77777777" w:rsidR="00921962" w:rsidRPr="00921962" w:rsidRDefault="000F77E0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Фармацевтична </w:t>
      </w:r>
      <w:r w:rsidR="00921962" w:rsidRPr="0092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14:paraId="66A1461F" w14:textId="77777777" w:rsidR="00921962" w:rsidRPr="00921962" w:rsidRDefault="00C12D33" w:rsidP="00921962">
      <w:pPr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Водорозчинний п</w:t>
      </w:r>
      <w:r w:rsidR="000A23AA" w:rsidRPr="000A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орошок </w:t>
      </w:r>
      <w:r w:rsidR="00921962" w:rsidRPr="00921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перорального застосування.</w:t>
      </w:r>
    </w:p>
    <w:p w14:paraId="540BFD82" w14:textId="77777777" w:rsidR="00921962" w:rsidRPr="00921962" w:rsidRDefault="0092196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Фармакологічні властивості</w:t>
      </w:r>
    </w:p>
    <w:p w14:paraId="6B0953CB" w14:textId="77777777" w:rsidR="00C12D33" w:rsidRPr="001E2AF6" w:rsidRDefault="00C12D33" w:rsidP="00C12D33">
      <w:pPr>
        <w:spacing w:after="0" w:line="100" w:lineRule="atLeast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2" w:name="_Hlk478654981"/>
      <w:r w:rsidRPr="001E2AF6">
        <w:rPr>
          <w:rFonts w:ascii="Times New Roman" w:eastAsia="Calibri" w:hAnsi="Times New Roman" w:cs="Times New Roman"/>
          <w:b/>
          <w:i/>
          <w:sz w:val="24"/>
          <w:szCs w:val="24"/>
        </w:rPr>
        <w:t>АТС vet класифікаційний код QJ01 – антибактеріальні ветеринарні препарати для системного застосування. QJ01XQ01 – Тіамулін.</w:t>
      </w:r>
    </w:p>
    <w:p w14:paraId="5FE07E57" w14:textId="01CC2F9D" w:rsidR="00884E63" w:rsidRDefault="00C12D33" w:rsidP="00884E63">
      <w:pPr>
        <w:spacing w:after="0" w:line="10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504725731"/>
      <w:bookmarkStart w:id="4" w:name="_Hlk480959893"/>
      <w:r w:rsidRPr="00CB7112">
        <w:rPr>
          <w:rFonts w:ascii="Times New Roman" w:eastAsia="Calibri" w:hAnsi="Times New Roman" w:cs="Times New Roman"/>
          <w:sz w:val="24"/>
          <w:szCs w:val="24"/>
        </w:rPr>
        <w:t>Тіамулін – напівсинтетичний антибіотик, що належить до групи плевромут</w:t>
      </w:r>
      <w:r w:rsidR="00B0791D">
        <w:rPr>
          <w:rFonts w:ascii="Times New Roman" w:eastAsia="Calibri" w:hAnsi="Times New Roman" w:cs="Times New Roman"/>
          <w:sz w:val="24"/>
          <w:szCs w:val="24"/>
        </w:rPr>
        <w:t>и</w:t>
      </w:r>
      <w:r w:rsidRPr="00CB7112">
        <w:rPr>
          <w:rFonts w:ascii="Times New Roman" w:eastAsia="Calibri" w:hAnsi="Times New Roman" w:cs="Times New Roman"/>
          <w:sz w:val="24"/>
          <w:szCs w:val="24"/>
        </w:rPr>
        <w:t xml:space="preserve">ліну. Антибіотик володіє бактеріостатичною дією, гальмуючи синтез білка у чутливих до нього мікроорганізмів. </w:t>
      </w:r>
      <w:r w:rsidR="00884E63" w:rsidRPr="00E03C68">
        <w:rPr>
          <w:rFonts w:ascii="Times New Roman" w:eastAsia="Calibri" w:hAnsi="Times New Roman" w:cs="Times New Roman"/>
          <w:sz w:val="24"/>
          <w:szCs w:val="24"/>
        </w:rPr>
        <w:t xml:space="preserve">Препарат активний </w:t>
      </w:r>
      <w:r w:rsidR="00B0791D">
        <w:rPr>
          <w:rFonts w:ascii="Times New Roman" w:eastAsia="Calibri" w:hAnsi="Times New Roman" w:cs="Times New Roman"/>
          <w:sz w:val="24"/>
          <w:szCs w:val="24"/>
        </w:rPr>
        <w:t>щодо</w:t>
      </w:r>
      <w:r w:rsidR="00884E63" w:rsidRPr="00E03C68">
        <w:rPr>
          <w:rFonts w:ascii="Times New Roman" w:eastAsia="Calibri" w:hAnsi="Times New Roman" w:cs="Times New Roman"/>
          <w:sz w:val="24"/>
          <w:szCs w:val="24"/>
        </w:rPr>
        <w:t xml:space="preserve"> грампозитивних (</w:t>
      </w:r>
      <w:r w:rsidR="00884E63" w:rsidRPr="00E03C68">
        <w:rPr>
          <w:rFonts w:ascii="Times New Roman" w:eastAsia="Calibri" w:hAnsi="Times New Roman" w:cs="Times New Roman"/>
          <w:i/>
          <w:sz w:val="24"/>
          <w:szCs w:val="24"/>
        </w:rPr>
        <w:t>Clostridium perfringens, Streptococcus spp., Staphylococcus spp., Erysipelothrix rhusiopathiae, Listeria monocytogenes, Actіnomyces pyogenes</w:t>
      </w:r>
      <w:r w:rsidR="00884E63" w:rsidRPr="00E03C68">
        <w:rPr>
          <w:rFonts w:ascii="Times New Roman" w:eastAsia="Calibri" w:hAnsi="Times New Roman" w:cs="Times New Roman"/>
          <w:sz w:val="24"/>
          <w:szCs w:val="24"/>
        </w:rPr>
        <w:t>) та грамнегативних мікроорганізмів</w:t>
      </w:r>
      <w:r w:rsidR="00884E63" w:rsidRPr="00E03C68">
        <w:rPr>
          <w:rFonts w:ascii="Times New Roman" w:eastAsia="Calibri" w:hAnsi="Times New Roman" w:cs="Times New Roman"/>
          <w:i/>
          <w:sz w:val="24"/>
          <w:szCs w:val="24"/>
        </w:rPr>
        <w:t xml:space="preserve"> (Brachyspira innocens, </w:t>
      </w:r>
      <w:bookmarkStart w:id="5" w:name="_Hlk503948797"/>
      <w:r w:rsidR="00884E63" w:rsidRPr="00E03C68">
        <w:rPr>
          <w:rFonts w:ascii="Times New Roman" w:eastAsia="Calibri" w:hAnsi="Times New Roman" w:cs="Times New Roman"/>
          <w:i/>
          <w:sz w:val="24"/>
          <w:szCs w:val="24"/>
        </w:rPr>
        <w:t>Brachyspira pilosicoli</w:t>
      </w:r>
      <w:bookmarkEnd w:id="5"/>
      <w:r w:rsidR="00884E63" w:rsidRPr="00E03C68">
        <w:rPr>
          <w:rFonts w:ascii="Times New Roman" w:eastAsia="Calibri" w:hAnsi="Times New Roman" w:cs="Times New Roman"/>
          <w:i/>
          <w:sz w:val="24"/>
          <w:szCs w:val="24"/>
        </w:rPr>
        <w:t>, Leptospira spp., Pasteurella multocida, Actіnobacillus spp., Fusobacterium spp., Klebsiella pneumoniae, Haemophilus spp., Bacteroides spp., Campylobacter coli</w:t>
      </w:r>
      <w:bookmarkStart w:id="6" w:name="_Hlk503948743"/>
      <w:r w:rsidR="00884E63" w:rsidRPr="00E03C68">
        <w:rPr>
          <w:rFonts w:ascii="Times New Roman" w:eastAsia="Calibri" w:hAnsi="Times New Roman" w:cs="Times New Roman"/>
          <w:i/>
          <w:sz w:val="24"/>
          <w:szCs w:val="24"/>
        </w:rPr>
        <w:t>, Lawsonia intracellularis</w:t>
      </w:r>
      <w:bookmarkEnd w:id="6"/>
      <w:r w:rsidR="00884E63" w:rsidRPr="00E03C68">
        <w:rPr>
          <w:rFonts w:ascii="Times New Roman" w:eastAsia="Calibri" w:hAnsi="Times New Roman" w:cs="Times New Roman"/>
          <w:sz w:val="24"/>
          <w:szCs w:val="24"/>
        </w:rPr>
        <w:t>а), а також хламідій, мікоплазм (</w:t>
      </w:r>
      <w:r w:rsidR="00884E63" w:rsidRPr="00E03C68">
        <w:rPr>
          <w:rFonts w:ascii="Times New Roman" w:eastAsia="Calibri" w:hAnsi="Times New Roman" w:cs="Times New Roman"/>
          <w:i/>
          <w:sz w:val="24"/>
          <w:szCs w:val="24"/>
        </w:rPr>
        <w:t>Mycoplasma hyopneumoniae, M. hyosynoviae, M. hyorhinis, M. bovis</w:t>
      </w:r>
      <w:r w:rsidR="00884E63" w:rsidRPr="00E03C68">
        <w:rPr>
          <w:rFonts w:ascii="Times New Roman" w:eastAsia="Calibri" w:hAnsi="Times New Roman" w:cs="Times New Roman"/>
          <w:sz w:val="24"/>
          <w:szCs w:val="24"/>
        </w:rPr>
        <w:t xml:space="preserve"> та інші) та спірохет (</w:t>
      </w:r>
      <w:r w:rsidR="00884E63" w:rsidRPr="00E03C68">
        <w:rPr>
          <w:rFonts w:ascii="Times New Roman" w:eastAsia="Calibri" w:hAnsi="Times New Roman" w:cs="Times New Roman"/>
          <w:i/>
          <w:sz w:val="24"/>
          <w:szCs w:val="24"/>
        </w:rPr>
        <w:t>Serpulina hyodysenteriae, S. innocens, S. pilosicoli, S. suis</w:t>
      </w:r>
      <w:r w:rsidR="00884E63" w:rsidRPr="00E03C6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25BC984" w14:textId="4FB0C809" w:rsidR="00C12D33" w:rsidRPr="00CB7112" w:rsidRDefault="00C12D33" w:rsidP="00C12D33">
      <w:pPr>
        <w:spacing w:after="0" w:line="10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112">
        <w:rPr>
          <w:rFonts w:ascii="Times New Roman" w:eastAsia="Calibri" w:hAnsi="Times New Roman" w:cs="Times New Roman"/>
          <w:sz w:val="24"/>
          <w:szCs w:val="24"/>
        </w:rPr>
        <w:t>Тіамулін діє на 70S рибосомному рівні, основне місце зв’язку знаходиться на 50S-підрівні, а вторинне місце можливе в місцях з’єднання підрівнів 50S та 30S</w:t>
      </w:r>
      <w:r w:rsidR="00B0791D">
        <w:rPr>
          <w:rFonts w:ascii="Times New Roman" w:eastAsia="Calibri" w:hAnsi="Times New Roman" w:cs="Times New Roman"/>
          <w:sz w:val="24"/>
          <w:szCs w:val="24"/>
        </w:rPr>
        <w:t xml:space="preserve"> субодиниць</w:t>
      </w:r>
      <w:r w:rsidRPr="00CB7112">
        <w:rPr>
          <w:rFonts w:ascii="Times New Roman" w:eastAsia="Calibri" w:hAnsi="Times New Roman" w:cs="Times New Roman"/>
          <w:sz w:val="24"/>
          <w:szCs w:val="24"/>
        </w:rPr>
        <w:t>. Він гальмує синтез білків мікро</w:t>
      </w:r>
      <w:r w:rsidR="00B0791D">
        <w:rPr>
          <w:rFonts w:ascii="Times New Roman" w:eastAsia="Calibri" w:hAnsi="Times New Roman" w:cs="Times New Roman"/>
          <w:sz w:val="24"/>
          <w:szCs w:val="24"/>
        </w:rPr>
        <w:t>організмами</w:t>
      </w:r>
      <w:r w:rsidRPr="00CB7112">
        <w:rPr>
          <w:rFonts w:ascii="Times New Roman" w:eastAsia="Calibri" w:hAnsi="Times New Roman" w:cs="Times New Roman"/>
          <w:sz w:val="24"/>
          <w:szCs w:val="24"/>
        </w:rPr>
        <w:t>, створюючи біохімічні неактивні ініціативні комплекси, що попереджують ріст поліпептидного ланцюга.</w:t>
      </w:r>
    </w:p>
    <w:bookmarkEnd w:id="3"/>
    <w:p w14:paraId="564E94BC" w14:textId="6300299B" w:rsidR="00C12D33" w:rsidRPr="00CB7112" w:rsidRDefault="00C12D33" w:rsidP="00C12D33">
      <w:pPr>
        <w:spacing w:after="0" w:line="10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112">
        <w:rPr>
          <w:rFonts w:ascii="Times New Roman" w:eastAsia="Calibri" w:hAnsi="Times New Roman" w:cs="Times New Roman"/>
          <w:sz w:val="24"/>
          <w:szCs w:val="24"/>
        </w:rPr>
        <w:t xml:space="preserve">Тіамулін </w:t>
      </w:r>
      <w:r w:rsidR="00B0791D" w:rsidRPr="00B0791D">
        <w:rPr>
          <w:rFonts w:ascii="Times New Roman" w:eastAsia="Calibri" w:hAnsi="Times New Roman" w:cs="Times New Roman"/>
          <w:sz w:val="24"/>
          <w:szCs w:val="24"/>
        </w:rPr>
        <w:t xml:space="preserve">після перорального застосування </w:t>
      </w:r>
      <w:r w:rsidRPr="00CB7112">
        <w:rPr>
          <w:rFonts w:ascii="Times New Roman" w:eastAsia="Calibri" w:hAnsi="Times New Roman" w:cs="Times New Roman"/>
          <w:sz w:val="24"/>
          <w:szCs w:val="24"/>
        </w:rPr>
        <w:t xml:space="preserve">добре </w:t>
      </w:r>
      <w:bookmarkStart w:id="7" w:name="_Hlk504396932"/>
      <w:r w:rsidRPr="00CB7112">
        <w:rPr>
          <w:rFonts w:ascii="Times New Roman" w:eastAsia="Calibri" w:hAnsi="Times New Roman" w:cs="Times New Roman"/>
          <w:sz w:val="24"/>
          <w:szCs w:val="24"/>
        </w:rPr>
        <w:t xml:space="preserve">всмоктується </w:t>
      </w:r>
      <w:bookmarkEnd w:id="7"/>
      <w:r w:rsidRPr="00CB7112">
        <w:rPr>
          <w:rFonts w:ascii="Times New Roman" w:eastAsia="Calibri" w:hAnsi="Times New Roman" w:cs="Times New Roman"/>
          <w:sz w:val="24"/>
          <w:szCs w:val="24"/>
        </w:rPr>
        <w:t>в організмі свиней (більше, ніж на 90 %) проникаючи в більшість органів і тканин після перорального застосування. Після одноразової дози – 10 та 25 мг тіамуліну на 1 кг маси тіла, максимальна концентрація (</w:t>
      </w:r>
      <w:r w:rsidRPr="00CB7112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CB711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max</w:t>
      </w:r>
      <w:r w:rsidRPr="00CB7112">
        <w:rPr>
          <w:rFonts w:ascii="Times New Roman" w:eastAsia="Calibri" w:hAnsi="Times New Roman" w:cs="Times New Roman"/>
          <w:sz w:val="24"/>
          <w:szCs w:val="24"/>
        </w:rPr>
        <w:t xml:space="preserve">) становила 1,03 мг/мл та 1,82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CB7112">
        <w:rPr>
          <w:rFonts w:ascii="Times New Roman" w:eastAsia="Calibri" w:hAnsi="Times New Roman" w:cs="Times New Roman"/>
          <w:sz w:val="24"/>
          <w:szCs w:val="24"/>
        </w:rPr>
        <w:t>г/мл відповідно при максимальному часі (Т</w:t>
      </w:r>
      <w:r w:rsidRPr="00CB711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max</w:t>
      </w:r>
      <w:r w:rsidRPr="00CB7112">
        <w:rPr>
          <w:rFonts w:ascii="Times New Roman" w:eastAsia="Calibri" w:hAnsi="Times New Roman" w:cs="Times New Roman"/>
          <w:sz w:val="24"/>
          <w:szCs w:val="24"/>
        </w:rPr>
        <w:t xml:space="preserve">) 2 години. Тіамулін метаболізується та виводиться з жовчю (70–85 %) </w:t>
      </w:r>
      <w:r>
        <w:rPr>
          <w:rFonts w:ascii="Times New Roman" w:eastAsia="Calibri" w:hAnsi="Times New Roman" w:cs="Times New Roman"/>
          <w:sz w:val="24"/>
          <w:szCs w:val="24"/>
        </w:rPr>
        <w:t>і</w:t>
      </w:r>
      <w:r w:rsidRPr="00CB7112">
        <w:rPr>
          <w:rFonts w:ascii="Times New Roman" w:eastAsia="Calibri" w:hAnsi="Times New Roman" w:cs="Times New Roman"/>
          <w:sz w:val="24"/>
          <w:szCs w:val="24"/>
        </w:rPr>
        <w:t xml:space="preserve"> з сечею (15–30 %). Тіамулін, який не абсорбувався і не метаболізувався, проходить через кишечник та осідає в товстій кишці.</w:t>
      </w:r>
    </w:p>
    <w:p w14:paraId="1FACCA96" w14:textId="57D8EEAB" w:rsidR="00C12D33" w:rsidRPr="00CB7112" w:rsidRDefault="00C12D33" w:rsidP="00C12D33">
      <w:pPr>
        <w:spacing w:after="0" w:line="10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112">
        <w:rPr>
          <w:rFonts w:ascii="Times New Roman" w:eastAsia="Calibri" w:hAnsi="Times New Roman" w:cs="Times New Roman"/>
          <w:sz w:val="24"/>
          <w:szCs w:val="24"/>
        </w:rPr>
        <w:t xml:space="preserve">Тіамулін </w:t>
      </w:r>
      <w:r w:rsidR="00B0791D" w:rsidRPr="00B0791D">
        <w:rPr>
          <w:rFonts w:ascii="Times New Roman" w:eastAsia="Calibri" w:hAnsi="Times New Roman" w:cs="Times New Roman"/>
          <w:sz w:val="24"/>
          <w:szCs w:val="24"/>
        </w:rPr>
        <w:t xml:space="preserve">після перорального застосування </w:t>
      </w:r>
      <w:r w:rsidR="00B0791D" w:rsidRPr="00CB7112">
        <w:rPr>
          <w:rFonts w:ascii="Times New Roman" w:eastAsia="Calibri" w:hAnsi="Times New Roman" w:cs="Times New Roman"/>
          <w:sz w:val="24"/>
          <w:szCs w:val="24"/>
        </w:rPr>
        <w:t xml:space="preserve">всмоктується </w:t>
      </w:r>
      <w:r w:rsidRPr="00CB7112">
        <w:rPr>
          <w:rFonts w:ascii="Times New Roman" w:eastAsia="Calibri" w:hAnsi="Times New Roman" w:cs="Times New Roman"/>
          <w:sz w:val="24"/>
          <w:szCs w:val="24"/>
        </w:rPr>
        <w:t>в організмі курей на 70–95 % і досягає найвищої концентрації через 2–4 години (Т</w:t>
      </w:r>
      <w:r w:rsidRPr="00CB711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max</w:t>
      </w:r>
      <w:r w:rsidRPr="00CB7112">
        <w:rPr>
          <w:rFonts w:ascii="Times New Roman" w:eastAsia="Calibri" w:hAnsi="Times New Roman" w:cs="Times New Roman"/>
          <w:sz w:val="24"/>
          <w:szCs w:val="24"/>
        </w:rPr>
        <w:t xml:space="preserve"> 2,85 годин). Після одноразової дози 50 мг/кг маси тіла С</w:t>
      </w:r>
      <w:r w:rsidRPr="00CB711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max</w:t>
      </w:r>
      <w:r w:rsidRPr="00CB7112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bookmarkStart w:id="8" w:name="_Hlk504393474"/>
      <w:r w:rsidRPr="00CB7112">
        <w:rPr>
          <w:rFonts w:ascii="Times New Roman" w:eastAsia="Calibri" w:hAnsi="Times New Roman" w:cs="Times New Roman"/>
          <w:sz w:val="24"/>
          <w:szCs w:val="24"/>
        </w:rPr>
        <w:t xml:space="preserve">4,02 мг/мл </w:t>
      </w:r>
      <w:bookmarkEnd w:id="8"/>
      <w:r w:rsidRPr="00CB7112">
        <w:rPr>
          <w:rFonts w:ascii="Times New Roman" w:eastAsia="Calibri" w:hAnsi="Times New Roman" w:cs="Times New Roman"/>
          <w:sz w:val="24"/>
          <w:szCs w:val="24"/>
        </w:rPr>
        <w:t>в сироватці крові, а після дози 25 мг/кг – 1,86 мг/мл. З’єднання з протеїнами становить приблизно 50 % (межа 45–52 %). Тіамулін добре проникає в більшість органів і тканин організму: накопичується в печінці та нирках (через які виводиться), а також в легенях, де рівень його в 30 разів перевищує рівень у сироватці, та в яйцях. Виводиться, в основному, з жовчю (55–65 %) і сечею (15–30 %) у формі мікробіологічно неактивних метаболітів. Процес достатньо швидкий: 99 % дози за 48 годин.</w:t>
      </w:r>
    </w:p>
    <w:p w14:paraId="42E4B19C" w14:textId="4CB9F63C" w:rsidR="00C12D33" w:rsidRPr="00CB7112" w:rsidRDefault="00B0791D" w:rsidP="00C12D33">
      <w:pPr>
        <w:spacing w:after="0" w:line="10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0791D">
        <w:rPr>
          <w:rFonts w:ascii="Times New Roman" w:eastAsia="Calibri" w:hAnsi="Times New Roman" w:cs="Times New Roman"/>
          <w:sz w:val="24"/>
          <w:szCs w:val="24"/>
        </w:rPr>
        <w:t>ісля перорального застосування</w:t>
      </w:r>
      <w:r w:rsidRPr="00B0791D">
        <w:t xml:space="preserve"> </w:t>
      </w:r>
      <w:r w:rsidRPr="00B0791D">
        <w:rPr>
          <w:rFonts w:ascii="Times New Roman" w:eastAsia="Calibri" w:hAnsi="Times New Roman" w:cs="Times New Roman"/>
          <w:sz w:val="24"/>
          <w:szCs w:val="24"/>
        </w:rPr>
        <w:t xml:space="preserve">індикам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C12D33" w:rsidRPr="00CB7112">
        <w:rPr>
          <w:rFonts w:ascii="Times New Roman" w:eastAsia="Calibri" w:hAnsi="Times New Roman" w:cs="Times New Roman"/>
          <w:sz w:val="24"/>
          <w:szCs w:val="24"/>
        </w:rPr>
        <w:t xml:space="preserve">аксимальна концентрація </w:t>
      </w:r>
      <w:r w:rsidRPr="00B0791D">
        <w:rPr>
          <w:rFonts w:ascii="Times New Roman" w:eastAsia="Calibri" w:hAnsi="Times New Roman" w:cs="Times New Roman"/>
          <w:sz w:val="24"/>
          <w:szCs w:val="24"/>
        </w:rPr>
        <w:t>(</w:t>
      </w:r>
      <w:r w:rsidRPr="00B0791D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B0791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max</w:t>
      </w:r>
      <w:r w:rsidRPr="00B0791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12D33" w:rsidRPr="00CB7112">
        <w:rPr>
          <w:rFonts w:ascii="Times New Roman" w:eastAsia="Calibri" w:hAnsi="Times New Roman" w:cs="Times New Roman"/>
          <w:sz w:val="24"/>
          <w:szCs w:val="24"/>
        </w:rPr>
        <w:t xml:space="preserve">тіамуліну в сироватці крові індиків становить 3,02 мг/мл при дозі 50 мг/кг маси тіла після перорального застосування та при дозі 25 мг/кг м. т. – 1,46 </w:t>
      </w:r>
      <w:r w:rsidR="00C12D33">
        <w:rPr>
          <w:rFonts w:ascii="Times New Roman" w:eastAsia="Calibri" w:hAnsi="Times New Roman" w:cs="Times New Roman"/>
          <w:sz w:val="24"/>
          <w:szCs w:val="24"/>
        </w:rPr>
        <w:t>мг</w:t>
      </w:r>
      <w:r w:rsidR="00C12D33" w:rsidRPr="00CB7112">
        <w:rPr>
          <w:rFonts w:ascii="Times New Roman" w:eastAsia="Calibri" w:hAnsi="Times New Roman" w:cs="Times New Roman"/>
          <w:sz w:val="24"/>
          <w:szCs w:val="24"/>
        </w:rPr>
        <w:t>/мл, і досягається протягом 2–4 годин після введення.</w:t>
      </w:r>
      <w:bookmarkEnd w:id="4"/>
    </w:p>
    <w:p w14:paraId="5A7E94B2" w14:textId="0DD05AE4" w:rsidR="00C12D33" w:rsidRPr="00CB7112" w:rsidRDefault="00C12D33" w:rsidP="00C12D33">
      <w:pPr>
        <w:spacing w:after="0" w:line="10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112">
        <w:rPr>
          <w:rFonts w:ascii="Times New Roman" w:eastAsia="Calibri" w:hAnsi="Times New Roman" w:cs="Times New Roman"/>
          <w:sz w:val="24"/>
          <w:szCs w:val="24"/>
        </w:rPr>
        <w:t>Концентрація тіа</w:t>
      </w:r>
      <w:r w:rsidR="007C0C3A">
        <w:rPr>
          <w:rFonts w:ascii="Times New Roman" w:eastAsia="Calibri" w:hAnsi="Times New Roman" w:cs="Times New Roman"/>
          <w:sz w:val="24"/>
          <w:szCs w:val="24"/>
        </w:rPr>
        <w:t xml:space="preserve">муліну на терапевтичному рівні </w:t>
      </w:r>
      <w:r w:rsidR="00B0791D">
        <w:rPr>
          <w:rFonts w:ascii="Times New Roman" w:eastAsia="Calibri" w:hAnsi="Times New Roman" w:cs="Times New Roman"/>
          <w:sz w:val="24"/>
          <w:szCs w:val="24"/>
        </w:rPr>
        <w:t>утримується</w:t>
      </w:r>
      <w:r w:rsidRPr="00CB7112">
        <w:rPr>
          <w:rFonts w:ascii="Times New Roman" w:eastAsia="Calibri" w:hAnsi="Times New Roman" w:cs="Times New Roman"/>
          <w:sz w:val="24"/>
          <w:szCs w:val="24"/>
        </w:rPr>
        <w:t xml:space="preserve"> протягом 18–24 годин після застосування препарату.</w:t>
      </w:r>
    </w:p>
    <w:p w14:paraId="451B6780" w14:textId="77777777" w:rsidR="00921962" w:rsidRPr="00921962" w:rsidRDefault="0092196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44"/>
      <w:bookmarkEnd w:id="2"/>
      <w:bookmarkEnd w:id="9"/>
      <w:r w:rsidRPr="0092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Клінічні особливості</w:t>
      </w:r>
      <w:bookmarkStart w:id="10" w:name="n45"/>
      <w:bookmarkEnd w:id="10"/>
    </w:p>
    <w:p w14:paraId="475E767C" w14:textId="77777777" w:rsidR="00921962" w:rsidRPr="00921962" w:rsidRDefault="00921962" w:rsidP="00921962">
      <w:pPr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Вид тварин</w:t>
      </w:r>
    </w:p>
    <w:p w14:paraId="0DF45CD9" w14:textId="77777777" w:rsidR="00921962" w:rsidRPr="00921962" w:rsidRDefault="00C12D33" w:rsidP="00921962">
      <w:pPr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478653505"/>
      <w:r w:rsidRPr="00C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Свині, свійська птиця (бройлери, молодняк птиці, кури-несучки, індики).</w:t>
      </w:r>
    </w:p>
    <w:p w14:paraId="729AB696" w14:textId="77777777" w:rsidR="00921962" w:rsidRPr="00921962" w:rsidRDefault="000F77E0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n46"/>
      <w:bookmarkEnd w:id="11"/>
      <w:bookmarkEnd w:id="1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Показання до застосування</w:t>
      </w:r>
    </w:p>
    <w:p w14:paraId="3FE55FFA" w14:textId="77777777" w:rsidR="00B0791D" w:rsidRDefault="00377528" w:rsidP="009D39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47"/>
      <w:bookmarkEnd w:id="13"/>
      <w:r w:rsidRPr="00B079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Свині:</w:t>
      </w:r>
      <w:r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2E0CF4" w14:textId="48977E10" w:rsidR="00B0791D" w:rsidRDefault="00B0791D" w:rsidP="009D39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Hlk189487771"/>
      <w:r w:rsidRPr="00B0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лікування тварин, хворих на дизентерію, спричинену </w:t>
      </w:r>
      <w:r w:rsidRPr="00B079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Brachyspira hyodysenteriae</w:t>
      </w:r>
      <w:r w:rsidRPr="00B0791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чутливою до тіамуліну.</w:t>
      </w:r>
    </w:p>
    <w:p w14:paraId="6B305C51" w14:textId="01FE3347" w:rsidR="00B040A5" w:rsidRPr="00B040A5" w:rsidRDefault="00B040A5" w:rsidP="009D39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0A5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</w:t>
      </w:r>
      <w:r w:rsidRPr="00B040A5">
        <w:rPr>
          <w:rFonts w:ascii="Times New Roman" w:hAnsi="Times New Roman" w:cs="Times New Roman"/>
          <w:sz w:val="24"/>
          <w:szCs w:val="24"/>
          <w:lang w:eastAsia="ru-RU"/>
        </w:rPr>
        <w:t xml:space="preserve">ікування тварин, хворих на спірохетоз (коліту), спричиненого </w:t>
      </w:r>
      <w:r w:rsidRPr="00B040A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Brachyspira pilosicoli,</w:t>
      </w:r>
      <w:r w:rsidRPr="00B040A5">
        <w:rPr>
          <w:rFonts w:ascii="Times New Roman" w:hAnsi="Times New Roman" w:cs="Times New Roman"/>
          <w:sz w:val="24"/>
          <w:szCs w:val="24"/>
          <w:lang w:eastAsia="ru-RU"/>
        </w:rPr>
        <w:t xml:space="preserve"> чутливою до тіамуліну. </w:t>
      </w:r>
    </w:p>
    <w:p w14:paraId="15A212E7" w14:textId="6BD76158" w:rsidR="00B040A5" w:rsidRPr="00B040A5" w:rsidRDefault="00B040A5" w:rsidP="00B040A5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0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– лікування тварин, хворих на проліферативну ентеропатію (ілеїту), спричинену </w:t>
      </w:r>
      <w:r w:rsidRPr="00B040A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Lawsonia intracellularis</w:t>
      </w:r>
      <w:r w:rsidRPr="00B040A5">
        <w:rPr>
          <w:rFonts w:ascii="Times New Roman" w:hAnsi="Times New Roman" w:cs="Times New Roman"/>
          <w:sz w:val="24"/>
          <w:szCs w:val="24"/>
          <w:lang w:eastAsia="ru-RU"/>
        </w:rPr>
        <w:t xml:space="preserve">, чутливою до тіамуліну. </w:t>
      </w:r>
    </w:p>
    <w:p w14:paraId="05BBF027" w14:textId="645DC381" w:rsidR="00B040A5" w:rsidRPr="00B040A5" w:rsidRDefault="00B040A5" w:rsidP="00B040A5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0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метафілактика та лікування тварин, хворих на  ензоотичну пневмонію, спричинену </w:t>
      </w:r>
      <w:r w:rsidRPr="00B04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Mycoplasma hyopneumoniae,</w:t>
      </w:r>
      <w:r w:rsidRPr="00B040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включаючи </w:t>
      </w:r>
      <w:r w:rsidRPr="00B040A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мікоплазмоз, ускладнений </w:t>
      </w:r>
      <w:r w:rsidRPr="00B040A5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>Pasteurella multocida,</w:t>
      </w:r>
      <w:r w:rsidRPr="00B040A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викликаний чутливими до тіамуліну мікроорганізмами</w:t>
      </w:r>
      <w:r w:rsidRPr="00B040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B040A5">
        <w:rPr>
          <w:rStyle w:val="rynqvb"/>
          <w:rFonts w:ascii="Times New Roman" w:hAnsi="Times New Roman"/>
          <w:color w:val="000000" w:themeColor="text1"/>
          <w:sz w:val="24"/>
          <w:szCs w:val="24"/>
        </w:rPr>
        <w:t xml:space="preserve">При застосуванні препарату для метафілактики перед його використанням необхідно встановити наявність </w:t>
      </w:r>
      <w:r w:rsidRPr="00B040A5">
        <w:rPr>
          <w:rStyle w:val="rynqvb"/>
          <w:rFonts w:ascii="Times New Roman" w:hAnsi="Times New Roman"/>
          <w:sz w:val="24"/>
          <w:szCs w:val="24"/>
        </w:rPr>
        <w:t>захворювання в групі тварин.</w:t>
      </w:r>
    </w:p>
    <w:p w14:paraId="15F8BF8B" w14:textId="17E3113D" w:rsidR="00B040A5" w:rsidRPr="00B040A5" w:rsidRDefault="00B040A5" w:rsidP="00B040A5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0A5">
        <w:rPr>
          <w:rFonts w:ascii="Times New Roman" w:hAnsi="Times New Roman" w:cs="Times New Roman"/>
          <w:sz w:val="24"/>
          <w:szCs w:val="24"/>
          <w:lang w:eastAsia="ru-RU"/>
        </w:rPr>
        <w:t xml:space="preserve">– лікування тварин, хворих на плевропневмонію, спричинену </w:t>
      </w:r>
      <w:r w:rsidRPr="00B040A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Actinobacillus pleuropneumoniae,</w:t>
      </w:r>
      <w:r w:rsidRPr="00B040A5">
        <w:rPr>
          <w:rFonts w:ascii="Times New Roman" w:hAnsi="Times New Roman" w:cs="Times New Roman"/>
          <w:sz w:val="24"/>
          <w:szCs w:val="24"/>
          <w:lang w:eastAsia="ru-RU"/>
        </w:rPr>
        <w:t xml:space="preserve"> чутливою до тіамуліну. </w:t>
      </w:r>
    </w:p>
    <w:bookmarkEnd w:id="14"/>
    <w:p w14:paraId="1F865B30" w14:textId="77777777" w:rsidR="00B040A5" w:rsidRPr="00B040A5" w:rsidRDefault="00ED1263" w:rsidP="00B040A5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0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Бройлери, молодняк птиці, кури-несучки</w:t>
      </w:r>
      <w:r w:rsidR="00377528" w:rsidRPr="00B040A5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="00377528" w:rsidRPr="00ED12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0A5" w:rsidRPr="00B040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метафілактика та лікування птиці, хворої на  </w:t>
      </w:r>
      <w:r w:rsidR="00B040A5" w:rsidRPr="00B040A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респіраторний мікоплазмоз, спричинений</w:t>
      </w:r>
      <w:r w:rsidR="00B040A5" w:rsidRPr="00B040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40A5" w:rsidRPr="00B04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Mycoplasma gallisepticum</w:t>
      </w:r>
      <w:r w:rsidR="00B040A5" w:rsidRPr="00B040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аеросакуліт та інфекційний синовіт, спричинених </w:t>
      </w:r>
      <w:r w:rsidR="00B040A5" w:rsidRPr="00B040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Mycoplasma synoviae</w:t>
      </w:r>
      <w:r w:rsidR="00B040A5" w:rsidRPr="00B040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чутливими до тіамуліну. </w:t>
      </w:r>
      <w:r w:rsidR="00B040A5" w:rsidRPr="00B040A5">
        <w:rPr>
          <w:rStyle w:val="rynqvb"/>
          <w:rFonts w:ascii="Times New Roman" w:hAnsi="Times New Roman"/>
          <w:color w:val="000000" w:themeColor="text1"/>
          <w:sz w:val="24"/>
          <w:szCs w:val="24"/>
        </w:rPr>
        <w:t>При застосуванні препарату для метафілактики перед його використанням необхідно встановити наявність захворювання в групі птиці.</w:t>
      </w:r>
    </w:p>
    <w:p w14:paraId="650E84ED" w14:textId="77777777" w:rsidR="00B040A5" w:rsidRPr="00A313F4" w:rsidRDefault="00B056C5" w:rsidP="00B040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D319B">
        <w:rPr>
          <w:rFonts w:ascii="Times New Roman" w:hAnsi="Times New Roman" w:cs="Times New Roman"/>
          <w:sz w:val="24"/>
          <w:szCs w:val="24"/>
          <w:u w:val="single"/>
          <w:lang w:eastAsia="ru-RU"/>
        </w:rPr>
        <w:t>І</w:t>
      </w:r>
      <w:r w:rsidR="00A313F4" w:rsidRPr="000D319B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нди</w:t>
      </w:r>
      <w:r w:rsidRPr="000D319B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ки</w:t>
      </w:r>
      <w:r w:rsidRPr="00ED126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B040A5" w:rsidRPr="00ED1263">
        <w:rPr>
          <w:rFonts w:ascii="Times New Roman" w:hAnsi="Times New Roman" w:cs="Times New Roman"/>
          <w:sz w:val="24"/>
          <w:szCs w:val="24"/>
          <w:lang w:eastAsia="ru-RU"/>
        </w:rPr>
        <w:t>метафілактика та лікування</w:t>
      </w:r>
      <w:r w:rsidR="00B040A5">
        <w:rPr>
          <w:rFonts w:ascii="Times New Roman" w:hAnsi="Times New Roman" w:cs="Times New Roman"/>
          <w:sz w:val="24"/>
          <w:szCs w:val="24"/>
          <w:lang w:eastAsia="ru-RU"/>
        </w:rPr>
        <w:t xml:space="preserve"> птиці, хворої на</w:t>
      </w:r>
      <w:r w:rsidR="00B040A5" w:rsidRPr="00ED1263">
        <w:rPr>
          <w:rFonts w:ascii="Times New Roman" w:hAnsi="Times New Roman" w:cs="Times New Roman"/>
          <w:sz w:val="24"/>
          <w:szCs w:val="24"/>
          <w:lang w:eastAsia="ru-RU"/>
        </w:rPr>
        <w:t xml:space="preserve"> інфекційн</w:t>
      </w:r>
      <w:r w:rsidR="00B040A5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="00B040A5" w:rsidRPr="00ED1263">
        <w:rPr>
          <w:rFonts w:ascii="Times New Roman" w:hAnsi="Times New Roman" w:cs="Times New Roman"/>
          <w:sz w:val="24"/>
          <w:szCs w:val="24"/>
          <w:lang w:eastAsia="ru-RU"/>
        </w:rPr>
        <w:t xml:space="preserve"> синусит та аеросакуліт, сприч</w:t>
      </w:r>
      <w:bookmarkStart w:id="15" w:name="_GoBack"/>
      <w:bookmarkEnd w:id="15"/>
      <w:r w:rsidR="00B040A5" w:rsidRPr="00ED1263">
        <w:rPr>
          <w:rFonts w:ascii="Times New Roman" w:hAnsi="Times New Roman" w:cs="Times New Roman"/>
          <w:sz w:val="24"/>
          <w:szCs w:val="24"/>
          <w:lang w:eastAsia="ru-RU"/>
        </w:rPr>
        <w:t>инен</w:t>
      </w:r>
      <w:r w:rsidR="00B040A5">
        <w:rPr>
          <w:rFonts w:ascii="Times New Roman" w:hAnsi="Times New Roman" w:cs="Times New Roman"/>
          <w:sz w:val="24"/>
          <w:szCs w:val="24"/>
          <w:lang w:eastAsia="ru-RU"/>
        </w:rPr>
        <w:t>і</w:t>
      </w:r>
      <w:r w:rsidR="00B040A5" w:rsidRPr="00ED12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0A5" w:rsidRPr="00ED12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Mycoplasma gallisepticum, Mycoplasma synoviae, Mycoplasma meleagridis</w:t>
      </w:r>
      <w:r w:rsidR="00B040A5" w:rsidRPr="00ED1263">
        <w:rPr>
          <w:rFonts w:ascii="Times New Roman" w:hAnsi="Times New Roman" w:cs="Times New Roman"/>
          <w:sz w:val="24"/>
          <w:szCs w:val="24"/>
          <w:lang w:eastAsia="ru-RU"/>
        </w:rPr>
        <w:t xml:space="preserve">, чутливими до тіамуліну. </w:t>
      </w:r>
      <w:r w:rsidR="00B040A5" w:rsidRPr="00B040A5">
        <w:rPr>
          <w:rStyle w:val="rynqvb"/>
          <w:rFonts w:ascii="Times New Roman" w:hAnsi="Times New Roman"/>
          <w:sz w:val="24"/>
          <w:szCs w:val="24"/>
        </w:rPr>
        <w:t>При застосуванні препарату для метафілактики перед його використанням необхідно встановити наявність захворювання в групі птиці</w:t>
      </w:r>
      <w:r w:rsidR="00B040A5" w:rsidRPr="00B040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96F5A5C" w14:textId="790E7081" w:rsidR="00921962" w:rsidRPr="00921962" w:rsidRDefault="004F3E17" w:rsidP="00B040A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 </w:t>
      </w:r>
      <w:r w:rsidR="00921962" w:rsidRPr="0092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Протипоказання</w:t>
      </w:r>
    </w:p>
    <w:p w14:paraId="2FEA5603" w14:textId="77777777" w:rsidR="00C12D33" w:rsidRPr="00CB7112" w:rsidRDefault="00C12D33" w:rsidP="00C12D33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48"/>
      <w:bookmarkEnd w:id="16"/>
      <w:r w:rsidRPr="00CB711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Індивідуальна чутливість тварин і птиці до компонентів препарату.</w:t>
      </w:r>
    </w:p>
    <w:p w14:paraId="4BF27BB8" w14:textId="445C8F20" w:rsidR="00C12D33" w:rsidRPr="00CB7112" w:rsidRDefault="00C12D33" w:rsidP="00C12D33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Свиням та птиці не застосовувати продукти, які містять монензин, наразин чи саліноміцин, щонайменше 7 діб до, під час та після лікування тіамуліном. Це може призвести до погіршення стану здоров’я (діарея, анорексія, парези, нефротоксичні ефекти) чи навіть загибелі.</w:t>
      </w:r>
    </w:p>
    <w:p w14:paraId="30811863" w14:textId="77777777" w:rsidR="00C12D33" w:rsidRPr="00CB7112" w:rsidRDefault="00C12D33" w:rsidP="00C12D33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застосовувати одночасно з антибіотиками аміноглікозидного ряду.</w:t>
      </w:r>
    </w:p>
    <w:p w14:paraId="63915FEF" w14:textId="77777777" w:rsidR="00C12D33" w:rsidRPr="00CB7112" w:rsidRDefault="00C12D33" w:rsidP="00C12D33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застосовувати племінним кнурам.</w:t>
      </w:r>
    </w:p>
    <w:p w14:paraId="5B1A4916" w14:textId="77777777" w:rsidR="00C12D33" w:rsidRPr="00CB7112" w:rsidRDefault="00C12D33" w:rsidP="00C12D33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застосовувати при порушеннях функції печінки та нирок.</w:t>
      </w:r>
    </w:p>
    <w:p w14:paraId="1A72B519" w14:textId="77777777" w:rsidR="00FA08DE" w:rsidRPr="00460413" w:rsidRDefault="00C12D33" w:rsidP="00C12D33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застосовувати з профілактичною метою, а також при виявленні резистентних до тіамуліну штамів збудника.</w:t>
      </w:r>
    </w:p>
    <w:p w14:paraId="3D9A4D55" w14:textId="77777777" w:rsidR="00921962" w:rsidRPr="00921962" w:rsidRDefault="0092196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Побічна дія</w:t>
      </w:r>
    </w:p>
    <w:p w14:paraId="63959A22" w14:textId="77777777" w:rsidR="000A23AA" w:rsidRPr="000A23AA" w:rsidRDefault="00C12D33" w:rsidP="000A23AA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застосуванні препарату в рекомендованих дозах побічних явищ та ускладнень, як правило, не спостерігається. </w:t>
      </w:r>
      <w:r w:rsidR="007C0C3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 рідко</w:t>
      </w:r>
      <w:r w:rsidRPr="00C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свиней може спостерігатися еритема або легкий набряк шкіри після застосування тіамуліну. </w:t>
      </w:r>
      <w:r w:rsidR="007C0C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підозрі на виникнення</w:t>
      </w:r>
      <w:r w:rsidRPr="00C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побічних реакцій, лікування повинно бути припинено.</w:t>
      </w:r>
    </w:p>
    <w:p w14:paraId="7D46E589" w14:textId="77777777" w:rsidR="00921962" w:rsidRPr="00921962" w:rsidRDefault="0092196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5.5. </w:t>
      </w:r>
      <w:r w:rsidRPr="009219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собливі застереження при використанні</w:t>
      </w:r>
    </w:p>
    <w:p w14:paraId="25C98AF6" w14:textId="248825C8" w:rsidR="00B056C5" w:rsidRDefault="00B056C5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Застосування </w:t>
      </w:r>
      <w:r w:rsidR="004E33E6"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вет</w:t>
      </w:r>
      <w:r w:rsidR="00372084"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</w:t>
      </w:r>
      <w:r w:rsidR="004E33E6"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ринарного лікарського засобу</w:t>
      </w:r>
      <w:r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повинно базуватися на </w:t>
      </w:r>
      <w:r w:rsidR="004E33E6"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вивченні</w:t>
      </w:r>
      <w:r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чутлив</w:t>
      </w:r>
      <w:r w:rsidR="004E33E6"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</w:t>
      </w:r>
      <w:r w:rsidR="004E33E6"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і </w:t>
      </w:r>
      <w:r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бактерій, виділених у тварин</w:t>
      </w:r>
      <w:r w:rsidR="00B040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040A5" w:rsidRPr="00B040A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 тіамуліну.</w:t>
      </w:r>
      <w:r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Якщо це неможливо, терапія повинна базуватися на місцев</w:t>
      </w:r>
      <w:r w:rsidR="004E33E6"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ій </w:t>
      </w:r>
      <w:r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(регіональн</w:t>
      </w:r>
      <w:r w:rsidR="004E33E6"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ій</w:t>
      </w:r>
      <w:r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фермерськ</w:t>
      </w:r>
      <w:r w:rsidR="004E33E6"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ій</w:t>
      </w:r>
      <w:r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еп</w:t>
      </w:r>
      <w:r w:rsidR="0062226F"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ізоотичній</w:t>
      </w:r>
      <w:r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інформаці</w:t>
      </w:r>
      <w:r w:rsidR="0062226F"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ї</w:t>
      </w:r>
      <w:r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про чутливість бактерій-мішеней. Невідповідне використання ветеринарного лікарського засобу може збільшити поширеність стійких бактерій до тіамулін</w:t>
      </w:r>
      <w:r w:rsidR="0062226F"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</w:t>
      </w:r>
      <w:r w:rsidRPr="00ED126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7F785660" w14:textId="77777777" w:rsidR="00921962" w:rsidRPr="00921962" w:rsidRDefault="0092196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 Використання під час вагітності, лактації, несучості</w:t>
      </w:r>
    </w:p>
    <w:p w14:paraId="46969C35" w14:textId="77777777" w:rsidR="000A23AA" w:rsidRPr="000A23AA" w:rsidRDefault="00C12D33" w:rsidP="000A23AA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51"/>
      <w:bookmarkEnd w:id="17"/>
      <w:r w:rsidRPr="00C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Дозволяється використання препарату під час вагітності, лактації у тварин та несучості у птиці.</w:t>
      </w:r>
    </w:p>
    <w:p w14:paraId="1AF3767F" w14:textId="77777777" w:rsidR="00921962" w:rsidRPr="00921962" w:rsidRDefault="0092196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5.7. Взаємодія з іншими засобами або інші форми взаємодії</w:t>
      </w:r>
    </w:p>
    <w:p w14:paraId="400548D1" w14:textId="7B92B845" w:rsidR="00B040A5" w:rsidRPr="00B040A5" w:rsidRDefault="00EB4099" w:rsidP="00B040A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9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Тіамулін взаємодіє з іонофорами, такими як монензин, наразин чи саліноміцин. Це може призвести до появи ознак, які властиві іонофорному токсикозу.</w:t>
      </w:r>
      <w:r w:rsidR="00B0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0A5" w:rsidRPr="00B04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препарат не застосовують з ними одночасно щонайменше 7 діб до, під час та після лікування тіамуліном.</w:t>
      </w:r>
    </w:p>
    <w:p w14:paraId="1E9E7798" w14:textId="25C750D8" w:rsidR="000A23AA" w:rsidRPr="000A23AA" w:rsidRDefault="00EB4099" w:rsidP="00EB409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Одночасне використання тіамуліну з двовалентними антикокцидіальними іонофорами ласалоцидом та семдураміцином не спричиняє жодної взаємодії, однак застосування з мадураміцином може призвести до тимчасових незначних змін загального стану організму курчат, до затримки росту.</w:t>
      </w:r>
    </w:p>
    <w:p w14:paraId="405ECD72" w14:textId="77777777" w:rsidR="00921962" w:rsidRPr="00921962" w:rsidRDefault="0092196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5.8. Дози і способи введення тваринам різного віку</w:t>
      </w:r>
    </w:p>
    <w:p w14:paraId="48BC61FA" w14:textId="77777777" w:rsidR="00B90E90" w:rsidRPr="00ED1263" w:rsidRDefault="00B90E90" w:rsidP="00B90E9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53"/>
      <w:bookmarkStart w:id="19" w:name="_Hlk478653690"/>
      <w:bookmarkEnd w:id="18"/>
      <w:r w:rsidRPr="00ED126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Добову дозу препарату розраховують за формулою:</w:t>
      </w:r>
    </w:p>
    <w:p w14:paraId="24A7CFD9" w14:textId="77777777" w:rsidR="00B90E90" w:rsidRPr="00ED1263" w:rsidRDefault="00B90E90" w:rsidP="00B90E90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1843"/>
        <w:gridCol w:w="567"/>
        <w:gridCol w:w="3119"/>
      </w:tblGrid>
      <w:tr w:rsidR="00B90E90" w:rsidRPr="00ED1263" w14:paraId="1C3B7E3A" w14:textId="77777777" w:rsidTr="00B90E90">
        <w:trPr>
          <w:trHeight w:val="1168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D8F46" w14:textId="77777777" w:rsidR="00B90E90" w:rsidRPr="00ED1263" w:rsidRDefault="00B90E90" w:rsidP="00710BCB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EAC6B" w14:textId="1619A9E5" w:rsidR="00B90E90" w:rsidRPr="00ED1263" w:rsidRDefault="00B90E90" w:rsidP="00710BCB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ED1263">
              <w:rPr>
                <w:rFonts w:ascii="Times New Roman" w:hAnsi="Times New Roman" w:cs="Times New Roman"/>
                <w:sz w:val="20"/>
                <w:szCs w:val="20"/>
              </w:rPr>
              <w:t>Доза препарату (м</w:t>
            </w:r>
            <w:r w:rsidR="00C93B29" w:rsidRPr="00ED12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D1263">
              <w:rPr>
                <w:rFonts w:ascii="Times New Roman" w:hAnsi="Times New Roman" w:cs="Times New Roman"/>
                <w:sz w:val="20"/>
                <w:szCs w:val="20"/>
              </w:rPr>
              <w:t>)/кг маси тіла/добу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96D78" w14:textId="77777777" w:rsidR="00B90E90" w:rsidRPr="00ED1263" w:rsidRDefault="00B90E90" w:rsidP="00710BCB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9844F" w14:textId="77777777" w:rsidR="00B90E90" w:rsidRPr="00ED1263" w:rsidRDefault="00B90E90" w:rsidP="00710BCB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5FD19" w14:textId="77777777" w:rsidR="00B90E90" w:rsidRPr="00ED1263" w:rsidRDefault="00B90E90" w:rsidP="00710BCB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ED1263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B96FA" w14:textId="24AE4539" w:rsidR="00B90E90" w:rsidRPr="00ED1263" w:rsidRDefault="00B90E90" w:rsidP="00710BCB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263">
              <w:rPr>
                <w:rFonts w:ascii="Times New Roman" w:hAnsi="Times New Roman" w:cs="Times New Roman"/>
                <w:sz w:val="20"/>
                <w:szCs w:val="20"/>
              </w:rPr>
              <w:t xml:space="preserve">Середня маса тіла (кг) тварин, які підлягають лікуванню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BC811" w14:textId="77777777" w:rsidR="00B90E90" w:rsidRPr="00ED1263" w:rsidRDefault="00B90E90" w:rsidP="00710BCB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00B70674" w14:textId="77777777" w:rsidR="00B90E90" w:rsidRPr="00ED1263" w:rsidRDefault="00B90E90" w:rsidP="00710BCB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121BBB10" w14:textId="77777777" w:rsidR="00B90E90" w:rsidRPr="00ED1263" w:rsidRDefault="00B90E90" w:rsidP="00710BCB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ED1263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408B3" w14:textId="77777777" w:rsidR="00B90E90" w:rsidRPr="00ED1263" w:rsidRDefault="00B90E90" w:rsidP="00710BCB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632E9FD7" w14:textId="77777777" w:rsidR="00B90E90" w:rsidRPr="00ED1263" w:rsidRDefault="00B90E90" w:rsidP="00710BCB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6F757" w14:textId="17266180" w:rsidR="00B90E90" w:rsidRPr="00ED1263" w:rsidRDefault="00B90E90" w:rsidP="00710BCB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263">
              <w:rPr>
                <w:rFonts w:ascii="Times New Roman" w:hAnsi="Times New Roman" w:cs="Times New Roman"/>
                <w:sz w:val="20"/>
                <w:szCs w:val="20"/>
              </w:rPr>
              <w:t>Необхідна кількість препарату (м</w:t>
            </w:r>
            <w:r w:rsidR="00C93B29" w:rsidRPr="00ED12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D1263">
              <w:rPr>
                <w:rFonts w:ascii="Times New Roman" w:hAnsi="Times New Roman" w:cs="Times New Roman"/>
                <w:sz w:val="20"/>
                <w:szCs w:val="20"/>
              </w:rPr>
              <w:t>) на 1 л питної води</w:t>
            </w:r>
          </w:p>
        </w:tc>
      </w:tr>
      <w:tr w:rsidR="00B90E90" w:rsidRPr="00ED1263" w14:paraId="3ED6C71A" w14:textId="77777777" w:rsidTr="00B90E90">
        <w:tc>
          <w:tcPr>
            <w:tcW w:w="54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6644B2" w14:textId="0CAFEE20" w:rsidR="00B90E90" w:rsidRPr="00ED1263" w:rsidRDefault="00B90E90" w:rsidP="00710BCB">
            <w:pPr>
              <w:spacing w:line="100" w:lineRule="atLeast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263">
              <w:rPr>
                <w:rFonts w:ascii="Times New Roman" w:hAnsi="Times New Roman" w:cs="Times New Roman"/>
                <w:sz w:val="20"/>
                <w:szCs w:val="20"/>
              </w:rPr>
              <w:t>Середньодобове споживання води (л) на тварину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64166" w14:textId="77777777" w:rsidR="00B90E90" w:rsidRPr="00ED1263" w:rsidRDefault="00B90E90" w:rsidP="00710BCB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7ACA3" w14:textId="77777777" w:rsidR="00B90E90" w:rsidRPr="00ED1263" w:rsidRDefault="00B90E90" w:rsidP="00710BCB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087828" w14:textId="77777777" w:rsidR="00B90E90" w:rsidRPr="00ED1263" w:rsidRDefault="00B90E90" w:rsidP="00B90E9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DFC43" w14:textId="40538B01" w:rsidR="00B90E90" w:rsidRPr="00ED1263" w:rsidRDefault="00B90E90" w:rsidP="007618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Перорально з питною водою як єдине джерело напування у дозах:</w:t>
      </w:r>
    </w:p>
    <w:p w14:paraId="16F5E71C" w14:textId="77777777" w:rsidR="00E57166" w:rsidRPr="00E57166" w:rsidRDefault="00E57166" w:rsidP="00E57166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166">
        <w:rPr>
          <w:rFonts w:ascii="Times New Roman" w:hAnsi="Times New Roman" w:cs="Times New Roman"/>
          <w:sz w:val="24"/>
          <w:szCs w:val="24"/>
          <w:u w:val="single"/>
        </w:rPr>
        <w:t>Свині:</w:t>
      </w:r>
      <w:r w:rsidRPr="00E57166">
        <w:rPr>
          <w:rFonts w:ascii="Times New Roman" w:hAnsi="Times New Roman" w:cs="Times New Roman"/>
          <w:sz w:val="24"/>
          <w:szCs w:val="24"/>
        </w:rPr>
        <w:t xml:space="preserve"> для лікування дизентерії свиней, викликаної </w:t>
      </w:r>
      <w:r w:rsidRPr="00E57166">
        <w:rPr>
          <w:rFonts w:ascii="Times New Roman" w:hAnsi="Times New Roman" w:cs="Times New Roman"/>
          <w:i/>
          <w:iCs/>
          <w:sz w:val="24"/>
          <w:szCs w:val="24"/>
        </w:rPr>
        <w:t>Brachyspira hyodysenteriae,</w:t>
      </w:r>
      <w:r w:rsidRPr="00E57166">
        <w:rPr>
          <w:rFonts w:ascii="Times New Roman" w:hAnsi="Times New Roman" w:cs="Times New Roman"/>
          <w:sz w:val="24"/>
          <w:szCs w:val="24"/>
        </w:rPr>
        <w:t xml:space="preserve"> доза становить 8,8 мг тіамуліну гідроген фумарату (що еквівалентно 19,6 мг препарату) на 1 кг маси тіла щодобово </w:t>
      </w:r>
      <w:bookmarkStart w:id="20" w:name="_Hlk187309875"/>
      <w:r w:rsidRPr="00E57166">
        <w:rPr>
          <w:rFonts w:ascii="Times New Roman" w:hAnsi="Times New Roman" w:cs="Times New Roman"/>
          <w:sz w:val="24"/>
          <w:szCs w:val="24"/>
        </w:rPr>
        <w:t>протягом 3–5 діб, залежно від важкості інфекції та/або тривалості захворювання.</w:t>
      </w:r>
    </w:p>
    <w:bookmarkEnd w:id="20"/>
    <w:p w14:paraId="72AFD7FD" w14:textId="77777777" w:rsidR="00E57166" w:rsidRPr="00E57166" w:rsidRDefault="00E57166" w:rsidP="00E57166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166">
        <w:rPr>
          <w:rFonts w:ascii="Times New Roman" w:hAnsi="Times New Roman" w:cs="Times New Roman"/>
          <w:sz w:val="24"/>
          <w:szCs w:val="24"/>
        </w:rPr>
        <w:t xml:space="preserve">Для лікування спірохетозу (коліту), викликаного </w:t>
      </w:r>
      <w:r w:rsidRPr="00E57166">
        <w:rPr>
          <w:rFonts w:ascii="Times New Roman" w:hAnsi="Times New Roman" w:cs="Times New Roman"/>
          <w:i/>
          <w:iCs/>
          <w:sz w:val="24"/>
          <w:szCs w:val="24"/>
        </w:rPr>
        <w:t>Brachyspira pilosicoli,</w:t>
      </w:r>
      <w:r w:rsidRPr="00E57166">
        <w:rPr>
          <w:rFonts w:ascii="Times New Roman" w:hAnsi="Times New Roman" w:cs="Times New Roman"/>
          <w:sz w:val="24"/>
          <w:szCs w:val="24"/>
        </w:rPr>
        <w:t xml:space="preserve"> доза становить 8,8 мг тіамуліну гідроген фумарату (що еквівалентно 19,6 мг препарату) на 1 кг маси тіла щодобово </w:t>
      </w:r>
      <w:bookmarkStart w:id="21" w:name="_Hlk187309980"/>
      <w:r w:rsidRPr="00E57166">
        <w:rPr>
          <w:rFonts w:ascii="Times New Roman" w:hAnsi="Times New Roman" w:cs="Times New Roman"/>
          <w:sz w:val="24"/>
          <w:szCs w:val="24"/>
        </w:rPr>
        <w:t xml:space="preserve">протягом 3–5 діб, </w:t>
      </w:r>
      <w:bookmarkEnd w:id="21"/>
      <w:r w:rsidRPr="00E57166">
        <w:rPr>
          <w:rFonts w:ascii="Times New Roman" w:hAnsi="Times New Roman" w:cs="Times New Roman"/>
          <w:sz w:val="24"/>
          <w:szCs w:val="24"/>
        </w:rPr>
        <w:t>залежно від важкості інфекції та/або тривалості захворювання.</w:t>
      </w:r>
    </w:p>
    <w:p w14:paraId="5EFDF54D" w14:textId="77777777" w:rsidR="00E57166" w:rsidRPr="00E57166" w:rsidRDefault="00E57166" w:rsidP="00E57166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166">
        <w:rPr>
          <w:rFonts w:ascii="Times New Roman" w:hAnsi="Times New Roman" w:cs="Times New Roman"/>
          <w:sz w:val="24"/>
          <w:szCs w:val="24"/>
        </w:rPr>
        <w:t xml:space="preserve">Для лікування проліферативної ентеропатії (ілеїту), викликаної </w:t>
      </w:r>
      <w:r w:rsidRPr="00E57166">
        <w:rPr>
          <w:rFonts w:ascii="Times New Roman" w:hAnsi="Times New Roman" w:cs="Times New Roman"/>
          <w:i/>
          <w:iCs/>
          <w:sz w:val="24"/>
          <w:szCs w:val="24"/>
        </w:rPr>
        <w:t>Lawsonia intracellularis,</w:t>
      </w:r>
      <w:r w:rsidRPr="00E57166">
        <w:rPr>
          <w:rFonts w:ascii="Times New Roman" w:hAnsi="Times New Roman" w:cs="Times New Roman"/>
          <w:sz w:val="24"/>
          <w:szCs w:val="24"/>
        </w:rPr>
        <w:t xml:space="preserve"> доза становить 8,8 мг тіамуліну гідроген фумарату (що еквівалентно 19,6 мг препарату) на 1 кг маси тіла щодобово протягом 5 діб.</w:t>
      </w:r>
    </w:p>
    <w:p w14:paraId="4FB8767E" w14:textId="77777777" w:rsidR="00E57166" w:rsidRPr="00E57166" w:rsidRDefault="00E57166" w:rsidP="00E57166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166">
        <w:rPr>
          <w:rFonts w:ascii="Times New Roman" w:hAnsi="Times New Roman" w:cs="Times New Roman"/>
          <w:sz w:val="24"/>
          <w:szCs w:val="24"/>
        </w:rPr>
        <w:t xml:space="preserve">Для лікування та метафілактики ензоотичної пневмонії, викликаної </w:t>
      </w:r>
      <w:r w:rsidRPr="00E57166">
        <w:rPr>
          <w:rFonts w:ascii="Times New Roman" w:hAnsi="Times New Roman" w:cs="Times New Roman"/>
          <w:i/>
          <w:iCs/>
          <w:sz w:val="24"/>
          <w:szCs w:val="24"/>
        </w:rPr>
        <w:t>Mycoplasma hyopneumoniae,</w:t>
      </w:r>
      <w:r w:rsidRPr="00E57166">
        <w:rPr>
          <w:rFonts w:ascii="Times New Roman" w:hAnsi="Times New Roman" w:cs="Times New Roman"/>
          <w:sz w:val="24"/>
          <w:szCs w:val="24"/>
        </w:rPr>
        <w:t xml:space="preserve"> включаючи мікоплазмоз, ускладнений</w:t>
      </w:r>
      <w:r w:rsidRPr="00E57166">
        <w:rPr>
          <w:rFonts w:ascii="Times New Roman" w:hAnsi="Times New Roman" w:cs="Times New Roman"/>
          <w:i/>
          <w:iCs/>
          <w:sz w:val="24"/>
          <w:szCs w:val="24"/>
        </w:rPr>
        <w:t xml:space="preserve"> Pasteurella multocida</w:t>
      </w:r>
      <w:r w:rsidRPr="00E57166">
        <w:rPr>
          <w:rFonts w:ascii="Times New Roman" w:hAnsi="Times New Roman" w:cs="Times New Roman"/>
          <w:sz w:val="24"/>
          <w:szCs w:val="24"/>
        </w:rPr>
        <w:t>, чутливими до тіамуліну, доза становить 20 мг тіамуліну гідроген фумарату (що еквівалентно 44,4 мг препарату) на 1 кг маси тіла щодобово протягом 5 діб.</w:t>
      </w:r>
    </w:p>
    <w:p w14:paraId="72A6B2B6" w14:textId="77777777" w:rsidR="00E57166" w:rsidRPr="00E57166" w:rsidRDefault="00E57166" w:rsidP="00E57166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166">
        <w:rPr>
          <w:rFonts w:ascii="Times New Roman" w:hAnsi="Times New Roman" w:cs="Times New Roman"/>
          <w:sz w:val="24"/>
          <w:szCs w:val="24"/>
        </w:rPr>
        <w:t xml:space="preserve">Для лікування плевропневмонії, спричиненої </w:t>
      </w:r>
      <w:r w:rsidRPr="00E57166">
        <w:rPr>
          <w:rFonts w:ascii="Times New Roman" w:hAnsi="Times New Roman" w:cs="Times New Roman"/>
          <w:i/>
          <w:iCs/>
          <w:sz w:val="24"/>
          <w:szCs w:val="24"/>
        </w:rPr>
        <w:t>Actinobacillus pleuropneumoniae</w:t>
      </w:r>
      <w:r w:rsidRPr="00E57166">
        <w:rPr>
          <w:rFonts w:ascii="Times New Roman" w:hAnsi="Times New Roman" w:cs="Times New Roman"/>
          <w:sz w:val="24"/>
          <w:szCs w:val="24"/>
        </w:rPr>
        <w:t>, чутливою до тіамуліну. доза становить 20 мг тіамуліну гідроген фумарату (що еквівалентно 44,4 мг препарату) на 1 кг маси тіла щодобово протягом 5 діб.</w:t>
      </w:r>
    </w:p>
    <w:bookmarkEnd w:id="19"/>
    <w:p w14:paraId="1A7C93C6" w14:textId="77777777" w:rsidR="00B005BC" w:rsidRPr="00B005BC" w:rsidRDefault="00B005BC" w:rsidP="00B005BC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Бройлери, молодняк птиці, кури-несучки</w:t>
      </w:r>
      <w:r w:rsidRPr="00B00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лікування та метафілактики хронічних респіраторних захворювань, спричинених </w:t>
      </w:r>
      <w:r w:rsidRPr="00B00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Mycoplasma gallisepticum, Airsacculitis,</w:t>
      </w:r>
      <w:r w:rsidRPr="00B00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інфекційного синовіту, викликаного </w:t>
      </w:r>
      <w:r w:rsidRPr="00B00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Mycoplasma synoviae</w:t>
      </w:r>
      <w:r w:rsidRPr="00B005B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доза становить 25 мг тіамуліну гідроген фумарату (що еквівалентно 55,6 мг препарату) на 1 кг маси тіла щодобово протягом 3–5 діб.</w:t>
      </w:r>
    </w:p>
    <w:p w14:paraId="383DDD1C" w14:textId="77777777" w:rsidR="00B005BC" w:rsidRPr="00B005BC" w:rsidRDefault="00B005BC" w:rsidP="00B005BC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Індики</w:t>
      </w:r>
      <w:r w:rsidRPr="00B00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лікування та метафілактики інфекційного синуситу та аеросакуліту, спричинених </w:t>
      </w:r>
      <w:r w:rsidRPr="00B00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Mycoplasma gallisepticum, Mycoplasma synoviae </w:t>
      </w:r>
      <w:r w:rsidRPr="00B00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B00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Mycoplasma meleagridis, </w:t>
      </w:r>
      <w:r w:rsidRPr="00B00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 становить 40 мг тіамуліну гідроген фумарату (що еквівалентно 88,9 мг препарату) на 1 кг маси тіла щодобово протягом 3–5 діб.</w:t>
      </w:r>
    </w:p>
    <w:p w14:paraId="38584E45" w14:textId="77777777" w:rsidR="00B005BC" w:rsidRPr="00B005BC" w:rsidRDefault="00B005BC" w:rsidP="00B005BC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Питна вода з препаратом повинна бути єдиним джерелом напування тварин протягом усього періоду лікування. Вода з препаратом повинна поновлюватися через кожні 24 години.</w:t>
      </w:r>
    </w:p>
    <w:p w14:paraId="6F978CF6" w14:textId="77777777" w:rsidR="00921962" w:rsidRPr="00B56CB3" w:rsidRDefault="0092196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5.9. Передозування (симптоми, невідкладні заходи, антидоти) (у випадку необхідності)</w:t>
      </w:r>
    </w:p>
    <w:p w14:paraId="2407A737" w14:textId="77777777" w:rsidR="00C12D33" w:rsidRPr="00B56CB3" w:rsidRDefault="00C12D33" w:rsidP="00C12D33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n54"/>
      <w:bookmarkStart w:id="23" w:name="_Hlk505766698"/>
      <w:bookmarkEnd w:id="22"/>
      <w:r w:rsidRPr="00B5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Одноразова доза тіамуліну 100 мг/кг маси тіла викликає у свиней тахіпное, утруднене дихання та розлади шлунку. Доза 150 мг/кг </w:t>
      </w:r>
      <w:bookmarkStart w:id="24" w:name="_Hlk505766851"/>
      <w:r w:rsidRPr="00B56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викликає побічних ефектів</w:t>
      </w:r>
      <w:r w:rsidR="00DE1849" w:rsidRPr="00B5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центральній нервовій системі</w:t>
      </w:r>
      <w:bookmarkEnd w:id="24"/>
      <w:r w:rsidRPr="00B56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окрім транквілізації. Доза 55 мг тіамуліну на 1 кг маси тіла, протягом 14 діб сприяє тимчасовій салівації та подразненню шлунка.</w:t>
      </w:r>
    </w:p>
    <w:p w14:paraId="54A6A78B" w14:textId="77777777" w:rsidR="00C12D33" w:rsidRPr="00B56CB3" w:rsidRDefault="00C12D33" w:rsidP="00C12D33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C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Терапевтичний індекс тіамуліну відносно високий, тому ймовірність передозування досить мала, особливо, якщо споживання розчину з тіамуліном, зменшується у випадку надто високої концентрації.</w:t>
      </w:r>
    </w:p>
    <w:p w14:paraId="1876730A" w14:textId="77777777" w:rsidR="00C12D33" w:rsidRPr="00B56CB3" w:rsidRDefault="00C12D33" w:rsidP="00C12D33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C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Летальна доза для курей становить 1090 мг/кг, а для індиків – 840 мг/кг маси тіла.</w:t>
      </w:r>
      <w:bookmarkEnd w:id="23"/>
      <w:r w:rsidRPr="00B5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Клінічні ознаки гострого токсикозу у птиці – клонічні судоми, лежання в боковій позиції, слиновиділення.</w:t>
      </w:r>
    </w:p>
    <w:p w14:paraId="1327FD8F" w14:textId="77777777" w:rsidR="00C12D33" w:rsidRPr="00B56CB3" w:rsidRDefault="00C12D33" w:rsidP="00C12D33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CB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токсичні реакції відбуваються через передозування, лікування повинно бути припинено, і, у разі потреби, проведене симптоматичне лікування.</w:t>
      </w:r>
    </w:p>
    <w:p w14:paraId="00370FE6" w14:textId="77777777" w:rsidR="00921962" w:rsidRPr="00B56CB3" w:rsidRDefault="00921962" w:rsidP="00C12D33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5.10. Спеціальні застереження</w:t>
      </w:r>
      <w:bookmarkStart w:id="25" w:name="n55"/>
      <w:bookmarkEnd w:id="25"/>
    </w:p>
    <w:p w14:paraId="5B699FD4" w14:textId="77777777" w:rsidR="00850F85" w:rsidRPr="00B56CB3" w:rsidRDefault="00850F85" w:rsidP="00850F85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26" w:name="_Hlk478653778"/>
      <w:r w:rsidRPr="00B56CB3">
        <w:rPr>
          <w:rFonts w:ascii="Times New Roman" w:eastAsia="Lucida Sans Unicode" w:hAnsi="Times New Roman" w:cs="Times New Roman"/>
          <w:kern w:val="1"/>
          <w:sz w:val="24"/>
          <w:lang w:eastAsia="ar-SA"/>
        </w:rPr>
        <w:t>Немає.</w:t>
      </w:r>
    </w:p>
    <w:bookmarkEnd w:id="26"/>
    <w:p w14:paraId="7E256779" w14:textId="77777777" w:rsidR="00921962" w:rsidRPr="00B56CB3" w:rsidRDefault="0092196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5.11. Період виведення (каренції)</w:t>
      </w:r>
      <w:bookmarkStart w:id="27" w:name="n56"/>
      <w:bookmarkEnd w:id="27"/>
    </w:p>
    <w:p w14:paraId="2E5BCA64" w14:textId="16581B90" w:rsidR="0062226F" w:rsidRDefault="0062226F" w:rsidP="000A23AA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Hlk478655168"/>
      <w:bookmarkStart w:id="29" w:name="_Hlk480960373"/>
      <w:r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Забій тварин та птиці на м’ясо дозволяють через 2 доби (свині – якщо доза </w:t>
      </w:r>
      <w:bookmarkStart w:id="30" w:name="_Hlk187306781"/>
      <w:r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тіамуліну гідроген фумарату становила </w:t>
      </w:r>
      <w:bookmarkEnd w:id="30"/>
      <w:r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>8,8 мг (еквівалентно 19,6 мг препарату)/кг мас</w:t>
      </w:r>
      <w:r w:rsidR="00095B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тіла</w:t>
      </w:r>
      <w:r w:rsidR="00987E91"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доби (свині – якщо доза </w:t>
      </w:r>
      <w:r w:rsidR="00987E91"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тіамуліну гідроген фумарату становила </w:t>
      </w:r>
      <w:r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мг</w:t>
      </w:r>
      <w:r w:rsidR="00987E91"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(еквівалентно 44,4 мг препарату)/кг мас</w:t>
      </w:r>
      <w:r w:rsidR="00095B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7E91"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тіла), </w:t>
      </w:r>
      <w:r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доби (бройлери, молодняк птиці, несучки) та </w:t>
      </w:r>
      <w:r w:rsidR="00D134B2"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D134B2"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ED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(індики) після останнього застосування препарату. </w:t>
      </w:r>
      <w:bookmarkStart w:id="31" w:name="_Hlk189487592"/>
      <w:r w:rsidR="00D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Період виведення для яєць становить 0 діб. </w:t>
      </w:r>
      <w:r w:rsidR="00D53B24" w:rsidRPr="00D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Отримане до зазначеного терміну м’ясо утилізують або згодовують непродуктивним тваринам, залежно від висновку лікаря ветеринарної медицини.</w:t>
      </w:r>
    </w:p>
    <w:bookmarkEnd w:id="28"/>
    <w:bookmarkEnd w:id="29"/>
    <w:bookmarkEnd w:id="31"/>
    <w:p w14:paraId="149AFDDF" w14:textId="77777777" w:rsidR="00921962" w:rsidRPr="00B56CB3" w:rsidRDefault="0092196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5.12. Спеціальні застереження для осіб і обслуговуючого персоналу, котрі вводять засіб захисту тваринам</w:t>
      </w:r>
    </w:p>
    <w:p w14:paraId="190A070A" w14:textId="77777777" w:rsidR="000A23AA" w:rsidRPr="00B56CB3" w:rsidRDefault="00C12D33" w:rsidP="000A23AA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роботі з препаратом потрібно дотримуватись правил особистої гігієни і техніки безпеки, передбачених при роботі з лікарськими препаратами для тварин. При наявності гіперчутливості до тіамуліну уникати контакту з препаратом. Уникати контакту зі шкірою та очима. У випадку потрапляння препарату в очі або на шкіру рекомендується промити очі або шкіру великою кількістю води. Під час роботи з препаратом забороняється паління, прийом їжі або рідини. Якщо після роботи з препаратом з’являється висипка на шкірі</w:t>
      </w:r>
      <w:r w:rsidR="009A4F58" w:rsidRPr="00B56C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слід звернутися до лікаря.</w:t>
      </w:r>
    </w:p>
    <w:p w14:paraId="30BCD8DC" w14:textId="77777777" w:rsidR="00921962" w:rsidRPr="00B56CB3" w:rsidRDefault="00921962" w:rsidP="00921962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Фармацевтичні особливості</w:t>
      </w:r>
    </w:p>
    <w:p w14:paraId="57D83BAC" w14:textId="77777777" w:rsidR="00921962" w:rsidRPr="00B56CB3" w:rsidRDefault="0092196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n58"/>
      <w:bookmarkEnd w:id="32"/>
      <w:r w:rsidRPr="00B5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Форми несумісності (основні)</w:t>
      </w:r>
    </w:p>
    <w:p w14:paraId="1D7627D4" w14:textId="77777777" w:rsidR="000A23AA" w:rsidRPr="00B56CB3" w:rsidRDefault="00C12D33" w:rsidP="000A23AA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n59"/>
      <w:bookmarkEnd w:id="33"/>
      <w:r w:rsidRPr="00B56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застосовувати одночасно з монензином, саліноміцином, наразином.</w:t>
      </w:r>
    </w:p>
    <w:p w14:paraId="58E2AA89" w14:textId="77777777" w:rsidR="00921962" w:rsidRPr="00B56CB3" w:rsidRDefault="0092196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Термін придатності</w:t>
      </w:r>
    </w:p>
    <w:p w14:paraId="0AB51E4B" w14:textId="77777777" w:rsidR="00904288" w:rsidRPr="00B56CB3" w:rsidRDefault="000A23AA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4" w:name="_Hlk478653951"/>
      <w:r w:rsidRPr="00B56C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4288" w:rsidRPr="00B5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роки.</w:t>
      </w:r>
    </w:p>
    <w:bookmarkEnd w:id="34"/>
    <w:p w14:paraId="6157D286" w14:textId="77777777" w:rsidR="00C12D33" w:rsidRPr="00B56CB3" w:rsidRDefault="00C12D33" w:rsidP="00C12D33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розчинення у воді, розчин необхідно використати протягом 24 годин.</w:t>
      </w:r>
    </w:p>
    <w:p w14:paraId="01345020" w14:textId="77777777" w:rsidR="000A23AA" w:rsidRPr="00B56CB3" w:rsidRDefault="00AE022D" w:rsidP="00C12D33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_Hlk167454914"/>
      <w:r w:rsidRPr="00B56CB3">
        <w:rPr>
          <w:rFonts w:ascii="Times New Roman" w:hAnsi="Times New Roman"/>
          <w:color w:val="000000"/>
          <w:sz w:val="24"/>
          <w:szCs w:val="24"/>
        </w:rPr>
        <w:t>Термін придатності після першого відкриття первинної упаковки</w:t>
      </w:r>
      <w:r w:rsidRPr="00B56CB3">
        <w:rPr>
          <w:rFonts w:ascii="Times New Roman" w:hAnsi="Times New Roman"/>
          <w:color w:val="000000"/>
          <w:sz w:val="24"/>
          <w:szCs w:val="24"/>
          <w:lang w:val="sl-SI"/>
        </w:rPr>
        <w:t xml:space="preserve"> -</w:t>
      </w:r>
      <w:r w:rsidRPr="00B56CB3">
        <w:rPr>
          <w:rFonts w:ascii="Times New Roman" w:hAnsi="Times New Roman"/>
          <w:color w:val="000000"/>
          <w:sz w:val="24"/>
          <w:szCs w:val="24"/>
        </w:rPr>
        <w:t xml:space="preserve"> 3 місяці.</w:t>
      </w:r>
    </w:p>
    <w:bookmarkEnd w:id="35"/>
    <w:p w14:paraId="4EF28F40" w14:textId="77777777" w:rsidR="00921962" w:rsidRPr="00921962" w:rsidRDefault="0092196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Особливі заходи безпеки при збер</w:t>
      </w:r>
      <w:r w:rsidRPr="0092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іганні</w:t>
      </w:r>
      <w:bookmarkStart w:id="36" w:name="n61"/>
      <w:bookmarkEnd w:id="36"/>
    </w:p>
    <w:p w14:paraId="4A6E69DC" w14:textId="4093451D" w:rsidR="00921962" w:rsidRPr="00921962" w:rsidRDefault="00FB143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Hlk47865408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Сухе т</w:t>
      </w:r>
      <w:r w:rsidR="00C12D33" w:rsidRPr="00C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емне, недоступне для дітей місце за температури від 15 до 25 ºС.</w:t>
      </w:r>
    </w:p>
    <w:bookmarkEnd w:id="37"/>
    <w:p w14:paraId="08DFF989" w14:textId="77777777" w:rsidR="00921962" w:rsidRPr="00921962" w:rsidRDefault="0092196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Природа і склад контейнера первинного пакування</w:t>
      </w:r>
    </w:p>
    <w:p w14:paraId="1374C3BB" w14:textId="77777777" w:rsidR="002526C1" w:rsidRPr="002526C1" w:rsidRDefault="00C12D33" w:rsidP="002526C1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Hlk478655214"/>
      <w:r w:rsidRPr="00C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Пластикові контейнери по 10, 20, 50, 100, 300, 500 </w:t>
      </w:r>
      <w:r w:rsidR="0076650F" w:rsidRPr="00C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Pr="00C12D33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766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г, закриті кришками.</w:t>
      </w:r>
    </w:p>
    <w:p w14:paraId="018590F0" w14:textId="77777777" w:rsidR="00921962" w:rsidRPr="00921962" w:rsidRDefault="00921962" w:rsidP="0092196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9" w:name="n62"/>
      <w:bookmarkEnd w:id="38"/>
      <w:bookmarkEnd w:id="39"/>
      <w:r w:rsidRPr="0092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 Особливі заходи безпеки при поводженні з невикористаним препаратом або із його залишками</w:t>
      </w:r>
    </w:p>
    <w:p w14:paraId="7C15FCE8" w14:textId="77777777" w:rsidR="000A23AA" w:rsidRPr="000A23AA" w:rsidRDefault="000A23AA" w:rsidP="000A23AA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n63"/>
      <w:bookmarkEnd w:id="40"/>
      <w:r w:rsidRPr="000A2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Порожню упаковку та залишки невикористаного препарату потрібно утилізувати згідно з чинним законодавством.</w:t>
      </w:r>
    </w:p>
    <w:p w14:paraId="7294598C" w14:textId="77777777" w:rsidR="00030D90" w:rsidRPr="00030D90" w:rsidRDefault="00030D90" w:rsidP="00030D90">
      <w:pPr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30D9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7. Назва та місцезнаходження власника реєстраційного посвідчення</w:t>
      </w:r>
    </w:p>
    <w:p w14:paraId="403C529C" w14:textId="77777777" w:rsidR="00030D90" w:rsidRPr="00030D90" w:rsidRDefault="00030D90" w:rsidP="00030D90">
      <w:pPr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30D9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ПрАТ </w:t>
      </w:r>
      <w:r w:rsidRPr="00030D9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“</w:t>
      </w:r>
      <w:r w:rsidRPr="00030D9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Технолог</w:t>
      </w:r>
      <w:r w:rsidRPr="00030D9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 xml:space="preserve">” </w:t>
      </w:r>
    </w:p>
    <w:p w14:paraId="653A0329" w14:textId="77777777" w:rsidR="00030D90" w:rsidRPr="00030D90" w:rsidRDefault="00030D90" w:rsidP="00030D90">
      <w:pPr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30D9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20300, Черкаська</w:t>
      </w:r>
      <w:r w:rsidRPr="00030D9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030D9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обл., місто Умань, вулиця Стара прорізна, будинок 8</w:t>
      </w:r>
    </w:p>
    <w:p w14:paraId="7D982996" w14:textId="77777777" w:rsidR="00030D90" w:rsidRPr="00030D90" w:rsidRDefault="00030D90" w:rsidP="00030D90">
      <w:pPr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30D9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Україна</w:t>
      </w:r>
    </w:p>
    <w:p w14:paraId="51805CB2" w14:textId="77777777" w:rsidR="00030D90" w:rsidRPr="00030D90" w:rsidRDefault="00030D90" w:rsidP="00030D90">
      <w:pPr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bookmarkStart w:id="41" w:name="n64"/>
      <w:bookmarkEnd w:id="41"/>
      <w:r w:rsidRPr="00030D9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8. Назва та місцезнаходження виробника (виробників)</w:t>
      </w:r>
    </w:p>
    <w:p w14:paraId="44710695" w14:textId="77777777" w:rsidR="00030D90" w:rsidRPr="00030D90" w:rsidRDefault="00030D90" w:rsidP="00030D90">
      <w:pPr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bookmarkStart w:id="42" w:name="n65"/>
      <w:bookmarkEnd w:id="42"/>
      <w:r w:rsidRPr="00030D9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ПрАТ </w:t>
      </w:r>
      <w:r w:rsidRPr="00030D9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“</w:t>
      </w:r>
      <w:r w:rsidRPr="00030D9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Технолог</w:t>
      </w:r>
      <w:r w:rsidRPr="00030D9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 xml:space="preserve">” </w:t>
      </w:r>
    </w:p>
    <w:p w14:paraId="3F166DE0" w14:textId="77777777" w:rsidR="00030D90" w:rsidRPr="00030D90" w:rsidRDefault="00030D90" w:rsidP="00030D90">
      <w:pPr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30D9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20300, Черкаська</w:t>
      </w:r>
      <w:r w:rsidRPr="00030D9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030D9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обл., місто Умань, вулиця Стара прорізна, будинок 8</w:t>
      </w:r>
    </w:p>
    <w:p w14:paraId="5A820BDB" w14:textId="77777777" w:rsidR="00030D90" w:rsidRPr="00030D90" w:rsidRDefault="00030D90" w:rsidP="00030D90">
      <w:pPr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30D9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Україна</w:t>
      </w:r>
    </w:p>
    <w:sectPr w:rsidR="00030D90" w:rsidRPr="00030D90" w:rsidSect="00921962">
      <w:footerReference w:type="default" r:id="rId9"/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13FE8" w14:textId="77777777" w:rsidR="00E86542" w:rsidRDefault="00E86542" w:rsidP="00987F05">
      <w:pPr>
        <w:spacing w:after="0" w:line="240" w:lineRule="auto"/>
      </w:pPr>
      <w:r>
        <w:separator/>
      </w:r>
    </w:p>
  </w:endnote>
  <w:endnote w:type="continuationSeparator" w:id="0">
    <w:p w14:paraId="74EAB24E" w14:textId="77777777" w:rsidR="00E86542" w:rsidRDefault="00E86542" w:rsidP="0098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174496"/>
      <w:docPartObj>
        <w:docPartGallery w:val="Page Numbers (Bottom of Page)"/>
        <w:docPartUnique/>
      </w:docPartObj>
    </w:sdtPr>
    <w:sdtEndPr/>
    <w:sdtContent>
      <w:p w14:paraId="5614B105" w14:textId="77777777" w:rsidR="00987F05" w:rsidRDefault="00987F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19B" w:rsidRPr="000D319B">
          <w:rPr>
            <w:noProof/>
            <w:lang w:val="ru-RU"/>
          </w:rPr>
          <w:t>2</w:t>
        </w:r>
        <w:r>
          <w:fldChar w:fldCharType="end"/>
        </w:r>
      </w:p>
    </w:sdtContent>
  </w:sdt>
  <w:p w14:paraId="72D7FABC" w14:textId="77777777" w:rsidR="00987F05" w:rsidRDefault="00987F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6E375" w14:textId="77777777" w:rsidR="00E86542" w:rsidRDefault="00E86542" w:rsidP="00987F05">
      <w:pPr>
        <w:spacing w:after="0" w:line="240" w:lineRule="auto"/>
      </w:pPr>
      <w:r>
        <w:separator/>
      </w:r>
    </w:p>
  </w:footnote>
  <w:footnote w:type="continuationSeparator" w:id="0">
    <w:p w14:paraId="012B3855" w14:textId="77777777" w:rsidR="00E86542" w:rsidRDefault="00E86542" w:rsidP="00987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B5"/>
    <w:multiLevelType w:val="hybridMultilevel"/>
    <w:tmpl w:val="580E9606"/>
    <w:lvl w:ilvl="0" w:tplc="0ECE4C4C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07451AD"/>
    <w:multiLevelType w:val="hybridMultilevel"/>
    <w:tmpl w:val="56DA5CC0"/>
    <w:lvl w:ilvl="0" w:tplc="49C0CE8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F40EA3"/>
    <w:multiLevelType w:val="hybridMultilevel"/>
    <w:tmpl w:val="77A42CF8"/>
    <w:lvl w:ilvl="0" w:tplc="BA3C1A40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BBD582E"/>
    <w:multiLevelType w:val="hybridMultilevel"/>
    <w:tmpl w:val="493291CC"/>
    <w:lvl w:ilvl="0" w:tplc="759EBFF2">
      <w:start w:val="5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B9358BC"/>
    <w:multiLevelType w:val="hybridMultilevel"/>
    <w:tmpl w:val="9B48B2F0"/>
    <w:lvl w:ilvl="0" w:tplc="F6E43C7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62"/>
    <w:rsid w:val="00030D90"/>
    <w:rsid w:val="000531C6"/>
    <w:rsid w:val="00057554"/>
    <w:rsid w:val="000705FB"/>
    <w:rsid w:val="00095B6F"/>
    <w:rsid w:val="000A23AA"/>
    <w:rsid w:val="000D319B"/>
    <w:rsid w:val="000D3779"/>
    <w:rsid w:val="000F77E0"/>
    <w:rsid w:val="00102D51"/>
    <w:rsid w:val="00111FD1"/>
    <w:rsid w:val="00164F93"/>
    <w:rsid w:val="00165352"/>
    <w:rsid w:val="001E2AF6"/>
    <w:rsid w:val="001E3481"/>
    <w:rsid w:val="002467F5"/>
    <w:rsid w:val="002526C1"/>
    <w:rsid w:val="002752EC"/>
    <w:rsid w:val="002764D9"/>
    <w:rsid w:val="002918A0"/>
    <w:rsid w:val="00296575"/>
    <w:rsid w:val="002D0CC6"/>
    <w:rsid w:val="0030268F"/>
    <w:rsid w:val="00306570"/>
    <w:rsid w:val="00315AE4"/>
    <w:rsid w:val="003342E1"/>
    <w:rsid w:val="00335ED0"/>
    <w:rsid w:val="00370104"/>
    <w:rsid w:val="00372084"/>
    <w:rsid w:val="00377528"/>
    <w:rsid w:val="003877CD"/>
    <w:rsid w:val="003D6331"/>
    <w:rsid w:val="003D6972"/>
    <w:rsid w:val="00460413"/>
    <w:rsid w:val="00470259"/>
    <w:rsid w:val="004E33E6"/>
    <w:rsid w:val="004F3E17"/>
    <w:rsid w:val="00507664"/>
    <w:rsid w:val="00514E95"/>
    <w:rsid w:val="0054429C"/>
    <w:rsid w:val="00563A53"/>
    <w:rsid w:val="00571CC9"/>
    <w:rsid w:val="00583DFD"/>
    <w:rsid w:val="005B1443"/>
    <w:rsid w:val="005C7D28"/>
    <w:rsid w:val="005D2570"/>
    <w:rsid w:val="00621481"/>
    <w:rsid w:val="0062226F"/>
    <w:rsid w:val="00691EDD"/>
    <w:rsid w:val="006E22D2"/>
    <w:rsid w:val="00761808"/>
    <w:rsid w:val="0076650F"/>
    <w:rsid w:val="00797E76"/>
    <w:rsid w:val="007C0C3A"/>
    <w:rsid w:val="007C2E5D"/>
    <w:rsid w:val="007D15D0"/>
    <w:rsid w:val="00814B1D"/>
    <w:rsid w:val="00826964"/>
    <w:rsid w:val="00826F27"/>
    <w:rsid w:val="00844FE1"/>
    <w:rsid w:val="00850F85"/>
    <w:rsid w:val="00884E63"/>
    <w:rsid w:val="008A25B1"/>
    <w:rsid w:val="008B4486"/>
    <w:rsid w:val="008B55A0"/>
    <w:rsid w:val="008B7F9C"/>
    <w:rsid w:val="008C5157"/>
    <w:rsid w:val="00904288"/>
    <w:rsid w:val="00906389"/>
    <w:rsid w:val="00916214"/>
    <w:rsid w:val="00921962"/>
    <w:rsid w:val="0093332B"/>
    <w:rsid w:val="009617DB"/>
    <w:rsid w:val="00973757"/>
    <w:rsid w:val="00984415"/>
    <w:rsid w:val="00987E91"/>
    <w:rsid w:val="00987F05"/>
    <w:rsid w:val="009A4F58"/>
    <w:rsid w:val="009C1960"/>
    <w:rsid w:val="009D3972"/>
    <w:rsid w:val="009F5C7A"/>
    <w:rsid w:val="00A313F4"/>
    <w:rsid w:val="00A74A6A"/>
    <w:rsid w:val="00AA3E78"/>
    <w:rsid w:val="00AE022D"/>
    <w:rsid w:val="00AE7963"/>
    <w:rsid w:val="00B005BC"/>
    <w:rsid w:val="00B040A5"/>
    <w:rsid w:val="00B056C5"/>
    <w:rsid w:val="00B0791D"/>
    <w:rsid w:val="00B10FB9"/>
    <w:rsid w:val="00B55901"/>
    <w:rsid w:val="00B56CB3"/>
    <w:rsid w:val="00B644F1"/>
    <w:rsid w:val="00B843CB"/>
    <w:rsid w:val="00B90E90"/>
    <w:rsid w:val="00BF2E28"/>
    <w:rsid w:val="00C12D33"/>
    <w:rsid w:val="00C65DE0"/>
    <w:rsid w:val="00C93B29"/>
    <w:rsid w:val="00D134B2"/>
    <w:rsid w:val="00D53B24"/>
    <w:rsid w:val="00D6586C"/>
    <w:rsid w:val="00D8235F"/>
    <w:rsid w:val="00D91A93"/>
    <w:rsid w:val="00DE1849"/>
    <w:rsid w:val="00DE5D60"/>
    <w:rsid w:val="00E03C68"/>
    <w:rsid w:val="00E57166"/>
    <w:rsid w:val="00E86542"/>
    <w:rsid w:val="00EB4099"/>
    <w:rsid w:val="00ED1263"/>
    <w:rsid w:val="00F3059F"/>
    <w:rsid w:val="00F32673"/>
    <w:rsid w:val="00FA08DE"/>
    <w:rsid w:val="00FB11D9"/>
    <w:rsid w:val="00FB1432"/>
    <w:rsid w:val="00FC501E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8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63A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987F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F05"/>
  </w:style>
  <w:style w:type="paragraph" w:styleId="a6">
    <w:name w:val="footer"/>
    <w:basedOn w:val="a"/>
    <w:link w:val="a7"/>
    <w:uiPriority w:val="99"/>
    <w:unhideWhenUsed/>
    <w:rsid w:val="00987F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F05"/>
  </w:style>
  <w:style w:type="paragraph" w:styleId="a8">
    <w:name w:val="List Paragraph"/>
    <w:basedOn w:val="a"/>
    <w:uiPriority w:val="34"/>
    <w:qFormat/>
    <w:rsid w:val="007C0C3A"/>
    <w:pPr>
      <w:ind w:left="720"/>
      <w:contextualSpacing/>
    </w:pPr>
  </w:style>
  <w:style w:type="table" w:styleId="a9">
    <w:name w:val="Table Grid"/>
    <w:basedOn w:val="a1"/>
    <w:uiPriority w:val="39"/>
    <w:rsid w:val="00884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"/>
    <w:basedOn w:val="a"/>
    <w:rsid w:val="00E03C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annotation reference"/>
    <w:basedOn w:val="a0"/>
    <w:uiPriority w:val="99"/>
    <w:semiHidden/>
    <w:unhideWhenUsed/>
    <w:rsid w:val="001E2AF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2AF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2AF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2AF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2AF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E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2AF6"/>
    <w:rPr>
      <w:rFonts w:ascii="Tahoma" w:hAnsi="Tahoma" w:cs="Tahoma"/>
      <w:sz w:val="16"/>
      <w:szCs w:val="16"/>
    </w:rPr>
  </w:style>
  <w:style w:type="character" w:customStyle="1" w:styleId="rynqvb">
    <w:name w:val="rynqvb"/>
    <w:rsid w:val="00B04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63A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987F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F05"/>
  </w:style>
  <w:style w:type="paragraph" w:styleId="a6">
    <w:name w:val="footer"/>
    <w:basedOn w:val="a"/>
    <w:link w:val="a7"/>
    <w:uiPriority w:val="99"/>
    <w:unhideWhenUsed/>
    <w:rsid w:val="00987F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F05"/>
  </w:style>
  <w:style w:type="paragraph" w:styleId="a8">
    <w:name w:val="List Paragraph"/>
    <w:basedOn w:val="a"/>
    <w:uiPriority w:val="34"/>
    <w:qFormat/>
    <w:rsid w:val="007C0C3A"/>
    <w:pPr>
      <w:ind w:left="720"/>
      <w:contextualSpacing/>
    </w:pPr>
  </w:style>
  <w:style w:type="table" w:styleId="a9">
    <w:name w:val="Table Grid"/>
    <w:basedOn w:val="a1"/>
    <w:uiPriority w:val="39"/>
    <w:rsid w:val="00884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"/>
    <w:basedOn w:val="a"/>
    <w:rsid w:val="00E03C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annotation reference"/>
    <w:basedOn w:val="a0"/>
    <w:uiPriority w:val="99"/>
    <w:semiHidden/>
    <w:unhideWhenUsed/>
    <w:rsid w:val="001E2AF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2AF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2AF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2AF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2AF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E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2AF6"/>
    <w:rPr>
      <w:rFonts w:ascii="Tahoma" w:hAnsi="Tahoma" w:cs="Tahoma"/>
      <w:sz w:val="16"/>
      <w:szCs w:val="16"/>
    </w:rPr>
  </w:style>
  <w:style w:type="character" w:customStyle="1" w:styleId="rynqvb">
    <w:name w:val="rynqvb"/>
    <w:rsid w:val="00B0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BD376-ACC5-421A-A60E-F5FE44E8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8059</Words>
  <Characters>4594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М. Дубін</dc:creator>
  <cp:keywords/>
  <dc:description/>
  <cp:lastModifiedBy>Natalia_Ostapiv</cp:lastModifiedBy>
  <cp:revision>37</cp:revision>
  <dcterms:created xsi:type="dcterms:W3CDTF">2019-09-30T07:21:00Z</dcterms:created>
  <dcterms:modified xsi:type="dcterms:W3CDTF">2025-02-04T07:59:00Z</dcterms:modified>
</cp:coreProperties>
</file>