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7C1E" w14:textId="77777777" w:rsidR="00F97B97" w:rsidRPr="0078796B" w:rsidRDefault="00F97B97" w:rsidP="00F97B97">
      <w:pPr>
        <w:shd w:val="clear" w:color="auto" w:fill="FFFFFF"/>
        <w:spacing w:after="0"/>
        <w:jc w:val="right"/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</w:pPr>
      <w:r w:rsidRPr="0078796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Додаток 1</w:t>
      </w:r>
    </w:p>
    <w:p w14:paraId="703B6556" w14:textId="77777777" w:rsidR="00F97B97" w:rsidRPr="0078796B" w:rsidRDefault="00F97B97" w:rsidP="00F97B97">
      <w:pPr>
        <w:shd w:val="clear" w:color="auto" w:fill="FFFFFF"/>
        <w:spacing w:after="0"/>
        <w:jc w:val="right"/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</w:pPr>
      <w:r w:rsidRPr="0078796B"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  <w:t>до реєстраційного посвідчення АВ-00248-01-09</w:t>
      </w:r>
    </w:p>
    <w:p w14:paraId="31AB774C" w14:textId="77777777" w:rsidR="00F97B97" w:rsidRPr="0078796B" w:rsidRDefault="00F97B97" w:rsidP="00F97B97">
      <w:pPr>
        <w:shd w:val="clear" w:color="auto" w:fill="FFFFFF"/>
        <w:spacing w:after="0"/>
        <w:jc w:val="right"/>
        <w:rPr>
          <w:rFonts w:ascii="Times New Roman" w:eastAsia="Times New Roman" w:hAnsi="Times New Roman"/>
          <w:spacing w:val="-1"/>
          <w:sz w:val="24"/>
          <w:szCs w:val="24"/>
          <w:lang w:val="uk-UA" w:eastAsia="ru-RU"/>
        </w:rPr>
      </w:pPr>
    </w:p>
    <w:p w14:paraId="1A0C7D8C" w14:textId="77777777" w:rsidR="00F97B97" w:rsidRPr="0078796B" w:rsidRDefault="00F97B97" w:rsidP="00F97B97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8796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Коротка характеристика препарату</w:t>
      </w:r>
    </w:p>
    <w:p w14:paraId="6C391CA7" w14:textId="77777777" w:rsidR="00F97B97" w:rsidRPr="0078796B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8796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 Назва</w:t>
      </w:r>
    </w:p>
    <w:p w14:paraId="660D26BB" w14:textId="77777777" w:rsidR="00F97B97" w:rsidRPr="0078796B" w:rsidRDefault="00F97B97" w:rsidP="00F97B97">
      <w:pPr>
        <w:spacing w:after="0"/>
        <w:ind w:firstLine="567"/>
        <w:jc w:val="both"/>
        <w:rPr>
          <w:rFonts w:ascii="Times New Roman" w:hAnsi="Times New Roman"/>
          <w:color w:val="222222"/>
          <w:sz w:val="24"/>
          <w:szCs w:val="24"/>
          <w:lang w:val="uk-UA"/>
        </w:rPr>
      </w:pPr>
      <w:proofErr w:type="spellStart"/>
      <w:r w:rsidRPr="0078796B">
        <w:rPr>
          <w:rFonts w:ascii="Times New Roman" w:hAnsi="Times New Roman"/>
          <w:color w:val="222222"/>
          <w:sz w:val="24"/>
          <w:szCs w:val="24"/>
          <w:lang w:val="uk-UA"/>
        </w:rPr>
        <w:t>Бронтел-плюс</w:t>
      </w:r>
      <w:proofErr w:type="spellEnd"/>
    </w:p>
    <w:p w14:paraId="2193BBB6" w14:textId="77777777" w:rsidR="00F97B97" w:rsidRPr="0078796B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78796B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2. Склад</w:t>
      </w:r>
    </w:p>
    <w:p w14:paraId="3B94FE8C" w14:textId="77777777" w:rsidR="00F97B97" w:rsidRPr="0078796B" w:rsidRDefault="00F97B97" w:rsidP="00F97B97">
      <w:pPr>
        <w:spacing w:after="0"/>
        <w:ind w:firstLine="567"/>
        <w:jc w:val="both"/>
        <w:rPr>
          <w:rFonts w:ascii="Times New Roman" w:hAnsi="Times New Roman"/>
          <w:color w:val="222222"/>
          <w:sz w:val="24"/>
          <w:szCs w:val="24"/>
          <w:lang w:val="uk-UA"/>
        </w:rPr>
      </w:pPr>
      <w:r w:rsidRPr="0078796B">
        <w:rPr>
          <w:rFonts w:ascii="Times New Roman" w:hAnsi="Times New Roman"/>
          <w:color w:val="222222"/>
          <w:sz w:val="24"/>
          <w:szCs w:val="24"/>
          <w:lang w:val="uk-UA"/>
        </w:rPr>
        <w:t>1 мл препарату містить діючі речовини:</w:t>
      </w:r>
    </w:p>
    <w:p w14:paraId="5DF61AFF" w14:textId="77777777" w:rsidR="00F97B97" w:rsidRPr="0078796B" w:rsidRDefault="00F97B97" w:rsidP="00F97B97">
      <w:pPr>
        <w:spacing w:after="0"/>
        <w:ind w:firstLine="567"/>
        <w:jc w:val="both"/>
        <w:rPr>
          <w:rFonts w:ascii="Times New Roman" w:hAnsi="Times New Roman"/>
          <w:color w:val="222222"/>
          <w:sz w:val="24"/>
          <w:szCs w:val="24"/>
          <w:lang w:val="uk-UA"/>
        </w:rPr>
      </w:pPr>
      <w:proofErr w:type="spellStart"/>
      <w:r w:rsidRPr="0078796B">
        <w:rPr>
          <w:rFonts w:ascii="Times New Roman" w:hAnsi="Times New Roman"/>
          <w:color w:val="222222"/>
          <w:sz w:val="24"/>
          <w:szCs w:val="24"/>
          <w:lang w:val="uk-UA"/>
        </w:rPr>
        <w:t>клозантел</w:t>
      </w:r>
      <w:proofErr w:type="spellEnd"/>
      <w:r w:rsidRPr="0078796B">
        <w:rPr>
          <w:rFonts w:ascii="Times New Roman" w:hAnsi="Times New Roman"/>
          <w:color w:val="222222"/>
          <w:sz w:val="24"/>
          <w:szCs w:val="24"/>
          <w:lang w:val="uk-UA"/>
        </w:rPr>
        <w:t xml:space="preserve"> — 50 мг,</w:t>
      </w:r>
    </w:p>
    <w:p w14:paraId="4576962F" w14:textId="77E78540" w:rsidR="00F97B97" w:rsidRPr="0078796B" w:rsidRDefault="00F97B97" w:rsidP="00F97B97">
      <w:pPr>
        <w:spacing w:after="0"/>
        <w:ind w:firstLine="567"/>
        <w:jc w:val="both"/>
        <w:rPr>
          <w:rFonts w:ascii="Times New Roman" w:hAnsi="Times New Roman"/>
          <w:color w:val="222222"/>
          <w:sz w:val="24"/>
          <w:szCs w:val="24"/>
          <w:lang w:val="uk-UA"/>
        </w:rPr>
      </w:pPr>
      <w:proofErr w:type="spellStart"/>
      <w:r w:rsidRPr="0078796B">
        <w:rPr>
          <w:rFonts w:ascii="Times New Roman" w:hAnsi="Times New Roman"/>
          <w:color w:val="222222"/>
          <w:sz w:val="24"/>
          <w:szCs w:val="24"/>
          <w:lang w:val="uk-UA"/>
        </w:rPr>
        <w:t>праз</w:t>
      </w:r>
      <w:r w:rsidR="00124846">
        <w:rPr>
          <w:rFonts w:ascii="Times New Roman" w:hAnsi="Times New Roman"/>
          <w:color w:val="222222"/>
          <w:sz w:val="24"/>
          <w:szCs w:val="24"/>
          <w:lang w:val="uk-UA"/>
        </w:rPr>
        <w:t>і</w:t>
      </w:r>
      <w:r w:rsidRPr="0078796B">
        <w:rPr>
          <w:rFonts w:ascii="Times New Roman" w:hAnsi="Times New Roman"/>
          <w:color w:val="222222"/>
          <w:sz w:val="24"/>
          <w:szCs w:val="24"/>
          <w:lang w:val="uk-UA"/>
        </w:rPr>
        <w:t>квантел</w:t>
      </w:r>
      <w:proofErr w:type="spellEnd"/>
      <w:r w:rsidRPr="0078796B">
        <w:rPr>
          <w:rFonts w:ascii="Times New Roman" w:hAnsi="Times New Roman"/>
          <w:color w:val="222222"/>
          <w:sz w:val="24"/>
          <w:szCs w:val="24"/>
          <w:lang w:val="uk-UA"/>
        </w:rPr>
        <w:t xml:space="preserve"> — 50 мг.</w:t>
      </w:r>
    </w:p>
    <w:p w14:paraId="716C51FA" w14:textId="77777777" w:rsidR="00F97B97" w:rsidRPr="0078796B" w:rsidRDefault="00F97B97" w:rsidP="00F97B97">
      <w:pPr>
        <w:spacing w:after="0"/>
        <w:ind w:firstLine="567"/>
        <w:jc w:val="both"/>
        <w:rPr>
          <w:rFonts w:ascii="Times New Roman" w:hAnsi="Times New Roman"/>
          <w:color w:val="222222"/>
          <w:sz w:val="24"/>
          <w:szCs w:val="24"/>
          <w:lang w:val="uk-UA"/>
        </w:rPr>
      </w:pPr>
      <w:r w:rsidRPr="0078796B">
        <w:rPr>
          <w:rFonts w:ascii="Times New Roman" w:hAnsi="Times New Roman"/>
          <w:color w:val="222222"/>
          <w:sz w:val="24"/>
          <w:szCs w:val="24"/>
          <w:lang w:val="uk-UA"/>
        </w:rPr>
        <w:t xml:space="preserve">Допоміжні речовини: </w:t>
      </w:r>
      <w:proofErr w:type="spellStart"/>
      <w:r w:rsidRPr="0078796B">
        <w:rPr>
          <w:rFonts w:ascii="Times New Roman" w:hAnsi="Times New Roman"/>
          <w:color w:val="222222"/>
          <w:sz w:val="24"/>
          <w:szCs w:val="24"/>
          <w:lang w:val="uk-UA"/>
        </w:rPr>
        <w:t>пропіленгліколь</w:t>
      </w:r>
      <w:proofErr w:type="spellEnd"/>
      <w:r w:rsidRPr="0078796B">
        <w:rPr>
          <w:rFonts w:ascii="Times New Roman" w:hAnsi="Times New Roman"/>
          <w:color w:val="222222"/>
          <w:sz w:val="24"/>
          <w:szCs w:val="24"/>
          <w:lang w:val="uk-UA"/>
        </w:rPr>
        <w:t xml:space="preserve">, </w:t>
      </w:r>
      <w:proofErr w:type="spellStart"/>
      <w:r w:rsidRPr="0078796B">
        <w:rPr>
          <w:rFonts w:ascii="Times New Roman" w:hAnsi="Times New Roman"/>
          <w:color w:val="222222"/>
          <w:sz w:val="24"/>
          <w:szCs w:val="24"/>
          <w:lang w:val="uk-UA"/>
        </w:rPr>
        <w:t>полівінілпіролідон</w:t>
      </w:r>
      <w:proofErr w:type="spellEnd"/>
      <w:r w:rsidRPr="0078796B">
        <w:rPr>
          <w:rFonts w:ascii="Times New Roman" w:hAnsi="Times New Roman"/>
          <w:color w:val="222222"/>
          <w:sz w:val="24"/>
          <w:szCs w:val="24"/>
          <w:lang w:val="uk-UA"/>
        </w:rPr>
        <w:t xml:space="preserve">, новокаїну </w:t>
      </w:r>
      <w:proofErr w:type="spellStart"/>
      <w:r w:rsidRPr="0078796B">
        <w:rPr>
          <w:rFonts w:ascii="Times New Roman" w:hAnsi="Times New Roman"/>
          <w:color w:val="222222"/>
          <w:sz w:val="24"/>
          <w:szCs w:val="24"/>
          <w:lang w:val="uk-UA"/>
        </w:rPr>
        <w:t>гідрохлорид</w:t>
      </w:r>
      <w:proofErr w:type="spellEnd"/>
      <w:r w:rsidRPr="0078796B">
        <w:rPr>
          <w:rFonts w:ascii="Times New Roman" w:hAnsi="Times New Roman"/>
          <w:color w:val="222222"/>
          <w:sz w:val="24"/>
          <w:szCs w:val="24"/>
          <w:lang w:val="uk-UA"/>
        </w:rPr>
        <w:t>, натрію гідроксид.</w:t>
      </w:r>
    </w:p>
    <w:p w14:paraId="6391D9E8" w14:textId="77777777" w:rsidR="00F97B97" w:rsidRPr="0078796B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78796B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3. Фармацевтична форма</w:t>
      </w:r>
    </w:p>
    <w:p w14:paraId="6D617D4F" w14:textId="77777777" w:rsidR="00F97B97" w:rsidRPr="0078796B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8796B">
        <w:rPr>
          <w:rFonts w:ascii="Times New Roman" w:eastAsia="Times New Roman" w:hAnsi="Times New Roman"/>
          <w:sz w:val="24"/>
          <w:szCs w:val="24"/>
          <w:lang w:val="uk-UA" w:eastAsia="ru-RU"/>
        </w:rPr>
        <w:t>Розчин для ін’єкцій.</w:t>
      </w:r>
    </w:p>
    <w:p w14:paraId="50112C58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4. Фармакологічні властивості</w:t>
      </w:r>
    </w:p>
    <w:p w14:paraId="3DDF147F" w14:textId="1AD4EEF5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/>
        </w:rPr>
        <w:t>АТСvеt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класифікаційний код: QP52 —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/>
        </w:rPr>
        <w:t>антигельмінтні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ветеринарні препарати, QР52AA51 —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/>
        </w:rPr>
        <w:t>праз</w:t>
      </w:r>
      <w:r w:rsidR="00124846" w:rsidRPr="00293A24">
        <w:rPr>
          <w:rFonts w:ascii="Times New Roman" w:eastAsia="Times New Roman" w:hAnsi="Times New Roman"/>
          <w:i/>
          <w:sz w:val="24"/>
          <w:szCs w:val="24"/>
          <w:lang w:val="uk-UA"/>
        </w:rPr>
        <w:t>і</w:t>
      </w:r>
      <w:r w:rsidRPr="00293A24">
        <w:rPr>
          <w:rFonts w:ascii="Times New Roman" w:eastAsia="Times New Roman" w:hAnsi="Times New Roman"/>
          <w:i/>
          <w:sz w:val="24"/>
          <w:szCs w:val="24"/>
          <w:lang w:val="uk-UA"/>
        </w:rPr>
        <w:t>квантел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/>
        </w:rPr>
        <w:t>, комбінації.</w:t>
      </w:r>
    </w:p>
    <w:p w14:paraId="0C71B5B0" w14:textId="1EEFD047" w:rsidR="00E32866" w:rsidRPr="00293A24" w:rsidRDefault="00E32866" w:rsidP="00E3286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Антигельмінтний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препарат широкого спектра дії проти найбільш поширених збудників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нематодозів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цестодозів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трематодозів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а також ряду збудників </w:t>
      </w:r>
      <w:proofErr w:type="spellStart"/>
      <w:r w:rsidR="00716257"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акарозів</w:t>
      </w:r>
      <w:proofErr w:type="spellEnd"/>
      <w:r w:rsidR="00716257"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 ентомозів</w:t>
      </w: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, що паразитують у овець.</w:t>
      </w:r>
    </w:p>
    <w:p w14:paraId="0153EB7F" w14:textId="7116004B" w:rsidR="00E32866" w:rsidRPr="00293A24" w:rsidRDefault="00E32866" w:rsidP="00E3286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Клозантел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— синтетична сполука з групи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саліциланідів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Гальмує та зупиняє перенесення електронів, блокує процес фосфорилювання (утворення АТФ), що призводить до зміни енергетичного метаболізму у паразитів та їх загибелі. Діє на личинок і статевозрілих нематод (особливо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гематофагів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), збудників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стронгілятозів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716257" w:rsidRPr="00293A24">
        <w:rPr>
          <w:rFonts w:ascii="Times New Roman" w:hAnsi="Times New Roman"/>
          <w:sz w:val="24"/>
          <w:szCs w:val="24"/>
          <w:lang w:val="uk-UA"/>
        </w:rPr>
        <w:t xml:space="preserve">травного </w:t>
      </w:r>
      <w:proofErr w:type="spellStart"/>
      <w:r w:rsidR="00716257" w:rsidRPr="00293A24">
        <w:rPr>
          <w:rFonts w:ascii="Times New Roman" w:hAnsi="Times New Roman"/>
          <w:sz w:val="24"/>
          <w:szCs w:val="24"/>
          <w:lang w:val="uk-UA"/>
        </w:rPr>
        <w:t>каналу</w:t>
      </w:r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—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Bunomostum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spр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Haemonchus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Nematodirus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Oesophagostomum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Trichostrongylus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axei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Chabertia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ovina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тощо,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трематод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—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Fasciola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hepatica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F.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gigantica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Dicrocoelium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lanceatum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Eurytrema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pancreaticum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тощо, артропод у фазі личинка-імаго різноманітної локалізації —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Oestrus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ovis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Crivellia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silenus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Wohlfahrtia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magnifica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W.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trina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Lucilia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sericata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Bovicola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ovis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B.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caprae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Melophagus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ovinus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Linognathus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.,</w:t>
      </w: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коростяних кліщів родин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Psoroptidae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Sarcoptidae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Demodecidae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іксодових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кліщів тощо.</w:t>
      </w:r>
    </w:p>
    <w:p w14:paraId="0B7E105A" w14:textId="77777777" w:rsidR="00E32866" w:rsidRPr="00293A24" w:rsidRDefault="00E32866" w:rsidP="00E3286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Після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внутрішньом'язового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введення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клозантел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швидко всмоктується і проникає в органи і тканини організму. Максимальна концентрація в крові овець досягається через 8-24 години і зберігається 24-36 годин, терапевтична концентрація утримується протягом 10-11 діб. Період напіввиведення становить приблизно 12-15 діб.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Клозантел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не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біотрансформується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 організмі і виводиться переважно в незміненому вигляді з жовчю, у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лактуючих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тварин — частково з молоком.</w:t>
      </w:r>
      <w:r w:rsidRPr="00293A24">
        <w:rPr>
          <w:rFonts w:cs="Calibri"/>
          <w:lang w:val="uk-UA" w:eastAsia="uk-UA"/>
        </w:rPr>
        <w:t xml:space="preserve"> </w:t>
      </w: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Належить до помірно токсичних препаратів для теплокровних тварин. У рекомендованих дозах переноситься добре, не має місцевої подразнювальної,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ембріотоксичної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тератогенної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та сенсибілізуючої дії.</w:t>
      </w:r>
    </w:p>
    <w:p w14:paraId="7E45FC6C" w14:textId="77777777" w:rsidR="00E32866" w:rsidRPr="00293A24" w:rsidRDefault="00E32866" w:rsidP="00E3286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Празіквантел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—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антигельмінтик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широкого спектра дії із групи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піразинизо-хіноліну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Ефективний проти патогенних збудників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трематодозів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: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шистосомозів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(родина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Schistosomatidae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), збудників кишкових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цестодозів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—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Anoplocephalidae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(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Moniezia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.),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Avitellinidae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(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Thysaniezia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giardia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Avitellina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centripunctata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Stilesia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.)</w:t>
      </w: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та діє на ранніх стадіях більшості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лавральних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цестодозів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p w14:paraId="5DF1BB9F" w14:textId="3E117087" w:rsidR="00E32866" w:rsidRPr="00293A24" w:rsidRDefault="00E32866" w:rsidP="00E3286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Празіквантел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діє лише на трематоди і цестоди й не впливає на нематоди, зокрема на філярії. Підвищує проникність мембран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міофібрил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для іонів кальцію, збільшує м’язову активність, яка замінюється скороченням мускулатури та спастичним паралічем, руйнує </w:t>
      </w: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 xml:space="preserve">зовнішній покрив дорослих форм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цестод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 викликає загибель гельмінтів. </w:t>
      </w:r>
      <w:r w:rsidR="00FF2674"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З</w:t>
      </w: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агиблі</w:t>
      </w:r>
      <w:r w:rsidR="00FF2674"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стьожкові гельмінти</w:t>
      </w: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під впливом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празіквантелу</w:t>
      </w:r>
      <w:proofErr w:type="spellEnd"/>
      <w:r w:rsidR="00FF2674"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, інколи</w:t>
      </w: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повністю перетравлюються у </w:t>
      </w:r>
      <w:r w:rsidR="00FF2674" w:rsidRPr="00293A24">
        <w:rPr>
          <w:rFonts w:ascii="Times New Roman" w:hAnsi="Times New Roman"/>
          <w:sz w:val="24"/>
          <w:szCs w:val="24"/>
          <w:lang w:val="uk-UA"/>
        </w:rPr>
        <w:t xml:space="preserve">травному каналі </w:t>
      </w: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і навіть не виявляються</w:t>
      </w:r>
      <w:r w:rsidR="00FF2674"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їх </w:t>
      </w: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у фекаліях</w:t>
      </w:r>
      <w:r w:rsidR="00FF2674"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за гельмінтологічного дослідження</w:t>
      </w: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p w14:paraId="1DB7B913" w14:textId="77777777" w:rsidR="00E32866" w:rsidRPr="00293A24" w:rsidRDefault="00E32866" w:rsidP="00E3286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0" w:name="_gjdgxs" w:colFirst="0" w:colLast="0"/>
      <w:bookmarkEnd w:id="0"/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Празіквантел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після введення</w:t>
      </w:r>
      <w:r w:rsidRPr="00293A24">
        <w:rPr>
          <w:rFonts w:cs="Calibri"/>
          <w:lang w:val="uk-UA" w:eastAsia="uk-UA"/>
        </w:rPr>
        <w:t xml:space="preserve"> </w:t>
      </w: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швидко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метаболізується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й розповсюджується в організмі, виводиться разом із сечею переважно у формі метаболітів. Період напіввиведення становить близько 3 годин.</w:t>
      </w:r>
    </w:p>
    <w:p w14:paraId="468CAD0E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Клінічні особливості</w:t>
      </w:r>
    </w:p>
    <w:p w14:paraId="1DD7D7C4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5.1. Вид тварин</w:t>
      </w:r>
    </w:p>
    <w:p w14:paraId="7C7D4055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sz w:val="24"/>
          <w:szCs w:val="24"/>
          <w:lang w:val="uk-UA" w:eastAsia="ru-RU"/>
        </w:rPr>
        <w:t>Вівці.</w:t>
      </w:r>
    </w:p>
    <w:p w14:paraId="6C19FDAE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5.2. Показання до застосування</w:t>
      </w:r>
    </w:p>
    <w:p w14:paraId="03DE6A90" w14:textId="6EFE1082" w:rsidR="004009D1" w:rsidRPr="00293A24" w:rsidRDefault="004009D1" w:rsidP="004009D1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</w:pP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Профілактика та лікування овець за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паразитозів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спричинених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ендо-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та ектопаразитами: нематодами </w:t>
      </w:r>
      <w:r w:rsidR="00A26531" w:rsidRPr="00293A24">
        <w:rPr>
          <w:rFonts w:ascii="Times New Roman" w:hAnsi="Times New Roman"/>
          <w:sz w:val="24"/>
          <w:szCs w:val="24"/>
          <w:lang w:val="uk-UA"/>
        </w:rPr>
        <w:t>травного каналу</w:t>
      </w:r>
      <w:r w:rsidR="00B76C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—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Bunomostum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spр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Haemonchus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Nematodirus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Oesophagostomum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Trichostrongylus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axei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Chabertia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ovina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;</w:t>
      </w: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трематодами —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Fasciola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hepatica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F.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gigantica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Dicrocoelium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lanceatum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Eurytrema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pancreaticum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Schistosoma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.,</w:t>
      </w:r>
      <w:r w:rsidRPr="00293A24">
        <w:rPr>
          <w:rFonts w:cs="Calibri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цестодами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—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Moniezia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.,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Thysaniezia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giardi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Avitellina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centripunctata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Stilesia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., </w:t>
      </w:r>
      <w:r w:rsidR="00A26531"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комахами </w:t>
      </w: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у фазі личинка-імаго різноманітної локалізації —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Oestrus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ovis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Crivellia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silenus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Wohlfahrtia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Lucilia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sericata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Bovicola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Melophagus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ovinus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Linognathus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.</w:t>
      </w:r>
      <w:r w:rsidRPr="00293A24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;</w:t>
      </w:r>
      <w:r w:rsidR="00A26531" w:rsidRPr="00293A24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="00A26531" w:rsidRPr="00293A24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саркоптоїдозними</w:t>
      </w:r>
      <w:proofErr w:type="spellEnd"/>
      <w:r w:rsidR="00735C10" w:rsidRPr="00293A24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 xml:space="preserve"> </w:t>
      </w: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кліщами </w:t>
      </w:r>
      <w:proofErr w:type="spellStart"/>
      <w:r w:rsidRPr="00293A24">
        <w:rPr>
          <w:rFonts w:ascii="Times New Roman" w:hAnsi="Times New Roman"/>
          <w:i/>
          <w:sz w:val="24"/>
          <w:szCs w:val="24"/>
          <w:lang w:val="uk-UA" w:eastAsia="uk-UA"/>
        </w:rPr>
        <w:t>Psoroptes</w:t>
      </w:r>
      <w:proofErr w:type="spellEnd"/>
      <w:r w:rsidRPr="00293A24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hAnsi="Times New Roman"/>
          <w:i/>
          <w:sz w:val="24"/>
          <w:szCs w:val="24"/>
          <w:lang w:val="uk-UA" w:eastAsia="uk-UA"/>
        </w:rPr>
        <w:t>ovis</w:t>
      </w:r>
      <w:proofErr w:type="spellEnd"/>
      <w:r w:rsidRPr="00293A24">
        <w:rPr>
          <w:rFonts w:ascii="Times New Roman" w:hAnsi="Times New Roman"/>
          <w:i/>
          <w:sz w:val="24"/>
          <w:szCs w:val="24"/>
          <w:lang w:val="uk-UA" w:eastAsia="uk-UA"/>
        </w:rPr>
        <w:t>,</w:t>
      </w:r>
      <w:r w:rsidRPr="00293A2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hAnsi="Times New Roman"/>
          <w:i/>
          <w:sz w:val="24"/>
          <w:szCs w:val="24"/>
          <w:lang w:val="uk-UA" w:eastAsia="uk-UA"/>
        </w:rPr>
        <w:t>Chorioptes</w:t>
      </w:r>
      <w:proofErr w:type="spellEnd"/>
      <w:r w:rsidRPr="00293A24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hAnsi="Times New Roman"/>
          <w:i/>
          <w:sz w:val="24"/>
          <w:szCs w:val="24"/>
          <w:lang w:val="uk-UA" w:eastAsia="uk-UA"/>
        </w:rPr>
        <w:t>ovis</w:t>
      </w:r>
      <w:proofErr w:type="spellEnd"/>
      <w:r w:rsidRPr="00293A24">
        <w:rPr>
          <w:rFonts w:ascii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hAnsi="Times New Roman"/>
          <w:i/>
          <w:sz w:val="24"/>
          <w:szCs w:val="24"/>
          <w:lang w:val="uk-UA" w:eastAsia="uk-UA"/>
        </w:rPr>
        <w:t>Sarcoptes</w:t>
      </w:r>
      <w:proofErr w:type="spellEnd"/>
      <w:r w:rsidRPr="00293A24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hAnsi="Times New Roman"/>
          <w:i/>
          <w:sz w:val="24"/>
          <w:szCs w:val="24"/>
          <w:lang w:val="en-US" w:eastAsia="uk-UA"/>
        </w:rPr>
        <w:t>ovis</w:t>
      </w:r>
      <w:proofErr w:type="spellEnd"/>
      <w:r w:rsidR="00735C10" w:rsidRPr="00293A24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 xml:space="preserve">; </w:t>
      </w:r>
      <w:proofErr w:type="spellStart"/>
      <w:r w:rsidR="00735C10" w:rsidRPr="00293A24">
        <w:rPr>
          <w:rFonts w:ascii="Times New Roman" w:hAnsi="Times New Roman"/>
          <w:sz w:val="24"/>
          <w:szCs w:val="24"/>
          <w:lang w:val="uk-UA" w:eastAsia="uk-UA"/>
        </w:rPr>
        <w:t>тромбідиформним</w:t>
      </w:r>
      <w:proofErr w:type="spellEnd"/>
      <w:r w:rsidR="00735C10" w:rsidRPr="00293A2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35C10"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кліщем</w:t>
      </w:r>
      <w:r w:rsidR="00735C10" w:rsidRPr="00293A24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hAnsi="Times New Roman"/>
          <w:i/>
          <w:sz w:val="24"/>
          <w:szCs w:val="24"/>
          <w:lang w:val="uk-UA" w:eastAsia="uk-UA"/>
        </w:rPr>
        <w:t>Demodex</w:t>
      </w:r>
      <w:proofErr w:type="spellEnd"/>
      <w:r w:rsidRPr="00293A24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hAnsi="Times New Roman"/>
          <w:i/>
          <w:sz w:val="24"/>
          <w:szCs w:val="24"/>
          <w:lang w:val="uk-UA" w:eastAsia="uk-UA"/>
        </w:rPr>
        <w:t>ovis</w:t>
      </w:r>
      <w:proofErr w:type="spellEnd"/>
      <w:r w:rsidRPr="00293A24">
        <w:rPr>
          <w:rFonts w:ascii="Times New Roman" w:hAnsi="Times New Roman"/>
          <w:iCs/>
          <w:sz w:val="24"/>
          <w:szCs w:val="24"/>
          <w:lang w:val="uk-UA" w:eastAsia="uk-UA"/>
        </w:rPr>
        <w:t>;</w:t>
      </w:r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>іксодовими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кліщами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Ixodes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.,</w:t>
      </w:r>
      <w:r w:rsidRPr="00293A24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Hyalomma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.,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Boophilus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.,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Dermacentor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.,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Rhipicephalus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.,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Haemaphysalis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otophila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,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Amblyomma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293A24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spp</w:t>
      </w:r>
      <w:proofErr w:type="spellEnd"/>
      <w:r w:rsidRPr="00293A24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.</w:t>
      </w:r>
    </w:p>
    <w:p w14:paraId="13F5F270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5.3.Протипоказання</w:t>
      </w:r>
    </w:p>
    <w:p w14:paraId="5D626064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x-none"/>
        </w:rPr>
      </w:pPr>
      <w:r w:rsidRPr="00293A24">
        <w:rPr>
          <w:rFonts w:ascii="Times New Roman" w:eastAsia="Times New Roman" w:hAnsi="Times New Roman"/>
          <w:sz w:val="24"/>
          <w:szCs w:val="24"/>
          <w:lang w:val="uk-UA" w:eastAsia="x-none"/>
        </w:rPr>
        <w:t xml:space="preserve">Не застосовувати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x-none"/>
        </w:rPr>
        <w:t>лактуючим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x-none"/>
        </w:rPr>
        <w:t xml:space="preserve"> вівцям. Не використовувати одночасно з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x-none"/>
        </w:rPr>
        <w:t>протипаразитарними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x-none"/>
        </w:rPr>
        <w:t xml:space="preserve"> хлорорганічними та фосфорорганічними препаратами.</w:t>
      </w:r>
    </w:p>
    <w:p w14:paraId="2218D4E4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 xml:space="preserve">5.4. Побічна дія </w:t>
      </w:r>
    </w:p>
    <w:p w14:paraId="2DABEC45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93A24">
        <w:rPr>
          <w:rFonts w:ascii="Times New Roman" w:hAnsi="Times New Roman"/>
          <w:sz w:val="24"/>
          <w:szCs w:val="24"/>
          <w:lang w:val="uk-UA"/>
        </w:rPr>
        <w:t>У окремих тварин на місці введення можлива незначна припухлість, яка проходить через 2-3 доби.</w:t>
      </w:r>
    </w:p>
    <w:p w14:paraId="3793EACF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5.5. Особливі застереження при використанні</w:t>
      </w:r>
    </w:p>
    <w:p w14:paraId="40A3D593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93A24">
        <w:rPr>
          <w:rFonts w:ascii="Times New Roman" w:hAnsi="Times New Roman"/>
          <w:sz w:val="24"/>
          <w:szCs w:val="24"/>
          <w:lang w:val="uk-UA"/>
        </w:rPr>
        <w:t xml:space="preserve">Помірно токсичний для теплокровних тварин, в рекомендованих дозах не проявляє </w:t>
      </w:r>
      <w:proofErr w:type="spellStart"/>
      <w:r w:rsidRPr="00293A24">
        <w:rPr>
          <w:rFonts w:ascii="Times New Roman" w:hAnsi="Times New Roman"/>
          <w:sz w:val="24"/>
          <w:szCs w:val="24"/>
          <w:lang w:val="uk-UA"/>
        </w:rPr>
        <w:t>тератогенної</w:t>
      </w:r>
      <w:proofErr w:type="spellEnd"/>
      <w:r w:rsidRPr="00293A24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293A24">
        <w:rPr>
          <w:rFonts w:ascii="Times New Roman" w:hAnsi="Times New Roman"/>
          <w:sz w:val="24"/>
          <w:szCs w:val="24"/>
          <w:lang w:val="uk-UA"/>
        </w:rPr>
        <w:t>ембріотоксичної</w:t>
      </w:r>
      <w:proofErr w:type="spellEnd"/>
      <w:r w:rsidRPr="00293A24">
        <w:rPr>
          <w:rFonts w:ascii="Times New Roman" w:hAnsi="Times New Roman"/>
          <w:sz w:val="24"/>
          <w:szCs w:val="24"/>
          <w:lang w:val="uk-UA"/>
        </w:rPr>
        <w:t xml:space="preserve"> дії.</w:t>
      </w:r>
    </w:p>
    <w:p w14:paraId="68454217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5.6. Використання під час вагітності, лактації, несучості</w:t>
      </w:r>
    </w:p>
    <w:p w14:paraId="44055674" w14:textId="77777777" w:rsidR="00F97B97" w:rsidRPr="00293A24" w:rsidRDefault="00F97B97" w:rsidP="00F97B97">
      <w:pPr>
        <w:widowControl w:val="0"/>
        <w:snapToGri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sz w:val="24"/>
          <w:szCs w:val="24"/>
          <w:lang w:val="uk-UA" w:eastAsia="ru-RU"/>
        </w:rPr>
        <w:t>Не застосовувати самкам під час вагітності в останній триместр.</w:t>
      </w:r>
    </w:p>
    <w:p w14:paraId="1BD281C6" w14:textId="77777777" w:rsidR="00F97B97" w:rsidRPr="00293A24" w:rsidRDefault="00F97B97" w:rsidP="00F97B97">
      <w:pPr>
        <w:widowControl w:val="0"/>
        <w:snapToGri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Не застосовувати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ru-RU"/>
        </w:rPr>
        <w:t>лактуючим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вівцям.</w:t>
      </w:r>
    </w:p>
    <w:p w14:paraId="75C95667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5.7. Взаємодія з іншими засобами та інші форми взаємодії</w:t>
      </w:r>
    </w:p>
    <w:p w14:paraId="4804A694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x-none"/>
        </w:rPr>
      </w:pPr>
      <w:r w:rsidRPr="00293A24">
        <w:rPr>
          <w:rFonts w:ascii="Times New Roman" w:eastAsia="Times New Roman" w:hAnsi="Times New Roman"/>
          <w:sz w:val="24"/>
          <w:szCs w:val="24"/>
          <w:lang w:val="uk-UA" w:eastAsia="x-none"/>
        </w:rPr>
        <w:t xml:space="preserve">Не використовувати одночасно з </w:t>
      </w:r>
      <w:proofErr w:type="spellStart"/>
      <w:r w:rsidRPr="00293A24">
        <w:rPr>
          <w:rFonts w:ascii="Times New Roman" w:eastAsia="Times New Roman" w:hAnsi="Times New Roman"/>
          <w:sz w:val="24"/>
          <w:szCs w:val="24"/>
          <w:lang w:val="uk-UA" w:eastAsia="x-none"/>
        </w:rPr>
        <w:t>протипаразитарними</w:t>
      </w:r>
      <w:proofErr w:type="spellEnd"/>
      <w:r w:rsidRPr="00293A24">
        <w:rPr>
          <w:rFonts w:ascii="Times New Roman" w:eastAsia="Times New Roman" w:hAnsi="Times New Roman"/>
          <w:sz w:val="24"/>
          <w:szCs w:val="24"/>
          <w:lang w:val="uk-UA" w:eastAsia="x-none"/>
        </w:rPr>
        <w:t xml:space="preserve"> хлорорганічними та фосфорорганічними препаратами.</w:t>
      </w:r>
    </w:p>
    <w:p w14:paraId="75774AAA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5.8. Дози і способи введення тваринам різного віку</w:t>
      </w:r>
    </w:p>
    <w:p w14:paraId="7C783FDC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93A24">
        <w:rPr>
          <w:rFonts w:ascii="Times New Roman" w:hAnsi="Times New Roman"/>
          <w:sz w:val="24"/>
          <w:szCs w:val="24"/>
          <w:lang w:val="uk-UA"/>
        </w:rPr>
        <w:t>Перед застосуванням кожну партію препарату перевіряють на невеликій кількості тварин. За відсутності ускладнень обробляють все поголів'я.</w:t>
      </w:r>
    </w:p>
    <w:p w14:paraId="2C36CE8A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93A24">
        <w:rPr>
          <w:rFonts w:ascii="Times New Roman" w:hAnsi="Times New Roman"/>
          <w:sz w:val="24"/>
          <w:szCs w:val="24"/>
          <w:lang w:val="uk-UA"/>
        </w:rPr>
        <w:t xml:space="preserve">Препарат вводять одноразово, переважно підшкірно, але допускається і </w:t>
      </w:r>
      <w:proofErr w:type="spellStart"/>
      <w:r w:rsidRPr="00293A24">
        <w:rPr>
          <w:rFonts w:ascii="Times New Roman" w:hAnsi="Times New Roman"/>
          <w:sz w:val="24"/>
          <w:szCs w:val="24"/>
          <w:lang w:val="uk-UA"/>
        </w:rPr>
        <w:t>внутрішньом’язове</w:t>
      </w:r>
      <w:proofErr w:type="spellEnd"/>
      <w:r w:rsidRPr="00293A24">
        <w:rPr>
          <w:rFonts w:ascii="Times New Roman" w:hAnsi="Times New Roman"/>
          <w:sz w:val="24"/>
          <w:szCs w:val="24"/>
          <w:lang w:val="uk-UA"/>
        </w:rPr>
        <w:t xml:space="preserve"> введення. Доза становить — 0,75-1,0 мл на 10 кг маси тіла.</w:t>
      </w:r>
    </w:p>
    <w:p w14:paraId="4D9E4219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93A24">
        <w:rPr>
          <w:rFonts w:ascii="Times New Roman" w:hAnsi="Times New Roman"/>
          <w:sz w:val="24"/>
          <w:szCs w:val="24"/>
          <w:lang w:val="uk-UA"/>
        </w:rPr>
        <w:t>Профілактичні обробки проводять восени після постановки овець на стійлове утримання та навесні перед вигоном на пасовища, лікування — згідно з показаннями.</w:t>
      </w:r>
    </w:p>
    <w:p w14:paraId="4B5A9B3D" w14:textId="7EDA1AF3" w:rsidR="00F97B97" w:rsidRPr="00293A24" w:rsidRDefault="00F97B97" w:rsidP="00F97B9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93A24">
        <w:rPr>
          <w:rFonts w:ascii="Times New Roman" w:hAnsi="Times New Roman"/>
          <w:sz w:val="24"/>
          <w:szCs w:val="24"/>
          <w:lang w:val="uk-UA"/>
        </w:rPr>
        <w:t xml:space="preserve">При значному ураженні овець </w:t>
      </w:r>
      <w:proofErr w:type="spellStart"/>
      <w:r w:rsidR="00735C10" w:rsidRPr="00293A24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саркоптоїдозними</w:t>
      </w:r>
      <w:proofErr w:type="spellEnd"/>
      <w:r w:rsidR="00735C10" w:rsidRPr="00293A2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93A24">
        <w:rPr>
          <w:rFonts w:ascii="Times New Roman" w:hAnsi="Times New Roman"/>
          <w:sz w:val="24"/>
          <w:szCs w:val="24"/>
          <w:lang w:val="uk-UA"/>
        </w:rPr>
        <w:t>кліщами</w:t>
      </w:r>
      <w:bookmarkStart w:id="1" w:name="_GoBack"/>
      <w:bookmarkEnd w:id="1"/>
      <w:r w:rsidRPr="00293A24">
        <w:rPr>
          <w:rFonts w:ascii="Times New Roman" w:hAnsi="Times New Roman"/>
          <w:i/>
          <w:iCs/>
          <w:sz w:val="24"/>
          <w:szCs w:val="24"/>
          <w:lang w:val="uk-UA"/>
        </w:rPr>
        <w:t>,</w:t>
      </w:r>
      <w:r w:rsidRPr="00293A24">
        <w:rPr>
          <w:rFonts w:ascii="Times New Roman" w:hAnsi="Times New Roman"/>
          <w:sz w:val="24"/>
          <w:szCs w:val="24"/>
          <w:lang w:val="uk-UA"/>
        </w:rPr>
        <w:t xml:space="preserve"> овечим </w:t>
      </w:r>
      <w:proofErr w:type="spellStart"/>
      <w:r w:rsidRPr="00293A24">
        <w:rPr>
          <w:rFonts w:ascii="Times New Roman" w:hAnsi="Times New Roman"/>
          <w:sz w:val="24"/>
          <w:szCs w:val="24"/>
          <w:lang w:val="uk-UA"/>
        </w:rPr>
        <w:t>рунцем</w:t>
      </w:r>
      <w:proofErr w:type="spellEnd"/>
      <w:r w:rsidRPr="00293A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93A24">
        <w:rPr>
          <w:rFonts w:ascii="Times New Roman" w:hAnsi="Times New Roman"/>
          <w:i/>
          <w:iCs/>
          <w:sz w:val="24"/>
          <w:szCs w:val="24"/>
          <w:lang w:val="uk-UA"/>
        </w:rPr>
        <w:t>Melophagus</w:t>
      </w:r>
      <w:proofErr w:type="spellEnd"/>
      <w:r w:rsidRPr="00293A24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293A24">
        <w:rPr>
          <w:rFonts w:ascii="Times New Roman" w:hAnsi="Times New Roman"/>
          <w:i/>
          <w:iCs/>
          <w:sz w:val="24"/>
          <w:szCs w:val="24"/>
          <w:lang w:val="uk-UA"/>
        </w:rPr>
        <w:t>ovinus</w:t>
      </w:r>
      <w:proofErr w:type="spellEnd"/>
      <w:r w:rsidRPr="00293A24">
        <w:rPr>
          <w:rFonts w:ascii="Times New Roman" w:hAnsi="Times New Roman"/>
          <w:sz w:val="24"/>
          <w:szCs w:val="24"/>
          <w:lang w:val="uk-UA"/>
        </w:rPr>
        <w:t xml:space="preserve"> обробку бажано повторити через 12-14 діб. Для цього використати в рекомендованих дозах </w:t>
      </w:r>
      <w:proofErr w:type="spellStart"/>
      <w:r w:rsidRPr="00293A24">
        <w:rPr>
          <w:rFonts w:ascii="Times New Roman" w:hAnsi="Times New Roman"/>
          <w:sz w:val="24"/>
          <w:szCs w:val="24"/>
          <w:lang w:val="uk-UA"/>
        </w:rPr>
        <w:t>Бронтел-плюс</w:t>
      </w:r>
      <w:proofErr w:type="spellEnd"/>
      <w:r w:rsidRPr="00293A24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293A24">
        <w:rPr>
          <w:rFonts w:ascii="Times New Roman" w:hAnsi="Times New Roman"/>
          <w:sz w:val="24"/>
          <w:szCs w:val="24"/>
          <w:lang w:val="uk-UA"/>
        </w:rPr>
        <w:t>Бронтел</w:t>
      </w:r>
      <w:proofErr w:type="spellEnd"/>
      <w:r w:rsidRPr="00293A24">
        <w:rPr>
          <w:rFonts w:ascii="Times New Roman" w:hAnsi="Times New Roman"/>
          <w:sz w:val="24"/>
          <w:szCs w:val="24"/>
          <w:lang w:val="uk-UA"/>
        </w:rPr>
        <w:t xml:space="preserve"> 10</w:t>
      </w:r>
      <w:r w:rsidR="00735C10" w:rsidRPr="00293A2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93A24">
        <w:rPr>
          <w:rFonts w:ascii="Times New Roman" w:hAnsi="Times New Roman"/>
          <w:sz w:val="24"/>
          <w:szCs w:val="24"/>
          <w:lang w:val="uk-UA"/>
        </w:rPr>
        <w:t xml:space="preserve">% або </w:t>
      </w:r>
      <w:proofErr w:type="spellStart"/>
      <w:r w:rsidRPr="00293A24">
        <w:rPr>
          <w:rFonts w:ascii="Times New Roman" w:hAnsi="Times New Roman"/>
          <w:sz w:val="24"/>
          <w:szCs w:val="24"/>
          <w:lang w:val="uk-UA"/>
        </w:rPr>
        <w:t>Бровермектином</w:t>
      </w:r>
      <w:proofErr w:type="spellEnd"/>
      <w:r w:rsidRPr="00293A24">
        <w:rPr>
          <w:rFonts w:ascii="Times New Roman" w:hAnsi="Times New Roman"/>
          <w:sz w:val="24"/>
          <w:szCs w:val="24"/>
          <w:lang w:val="uk-UA"/>
        </w:rPr>
        <w:t xml:space="preserve"> 1%.</w:t>
      </w:r>
    </w:p>
    <w:p w14:paraId="6E024B0C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93A24">
        <w:rPr>
          <w:rFonts w:ascii="Times New Roman" w:hAnsi="Times New Roman"/>
          <w:sz w:val="24"/>
          <w:szCs w:val="24"/>
          <w:lang w:val="uk-UA"/>
        </w:rPr>
        <w:t>Ін’єкції об’ємом більш як 4 мл ділять на дві частини і вводять у різні місця.</w:t>
      </w:r>
    </w:p>
    <w:p w14:paraId="69060E08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5.9. Передозування (симптоми, невідкладні заходи, антидоти)</w:t>
      </w:r>
    </w:p>
    <w:p w14:paraId="285540B8" w14:textId="77777777" w:rsidR="00F97B97" w:rsidRPr="00293A24" w:rsidRDefault="00F97B97" w:rsidP="00F97B97">
      <w:pPr>
        <w:tabs>
          <w:tab w:val="num" w:pos="123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93A24">
        <w:rPr>
          <w:rFonts w:ascii="Times New Roman" w:hAnsi="Times New Roman"/>
          <w:sz w:val="24"/>
          <w:szCs w:val="24"/>
          <w:lang w:val="uk-UA"/>
        </w:rPr>
        <w:lastRenderedPageBreak/>
        <w:t>При застосуванні препарату у рекомендованих дозах симптомів передозування не спостерігають</w:t>
      </w:r>
      <w:r w:rsidRPr="00293A24">
        <w:rPr>
          <w:rFonts w:ascii="Times New Roman" w:hAnsi="Times New Roman"/>
          <w:sz w:val="24"/>
          <w:szCs w:val="24"/>
        </w:rPr>
        <w:t>.</w:t>
      </w:r>
      <w:r w:rsidRPr="00293A24">
        <w:rPr>
          <w:rFonts w:ascii="Times New Roman" w:hAnsi="Times New Roman"/>
          <w:sz w:val="24"/>
          <w:szCs w:val="24"/>
          <w:lang w:val="uk-UA"/>
        </w:rPr>
        <w:t xml:space="preserve"> У випадках значного передозування рекомендують провести симптоматичну терапію</w:t>
      </w:r>
      <w:r w:rsidRPr="00293A24"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  <w:t>.</w:t>
      </w:r>
    </w:p>
    <w:p w14:paraId="69A09753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5.10. Спеціальні застереження</w:t>
      </w:r>
    </w:p>
    <w:p w14:paraId="50DA4C1A" w14:textId="77777777" w:rsidR="00F97B97" w:rsidRPr="00293A24" w:rsidRDefault="00F97B97" w:rsidP="00F97B97">
      <w:pPr>
        <w:tabs>
          <w:tab w:val="num" w:pos="123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93A24">
        <w:rPr>
          <w:rFonts w:ascii="Times New Roman" w:hAnsi="Times New Roman"/>
          <w:sz w:val="24"/>
          <w:szCs w:val="24"/>
          <w:lang w:val="uk-UA"/>
        </w:rPr>
        <w:t>Немає.</w:t>
      </w:r>
    </w:p>
    <w:p w14:paraId="61A6726F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5.11. Період виведення (</w:t>
      </w:r>
      <w:proofErr w:type="spellStart"/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каренції</w:t>
      </w:r>
      <w:proofErr w:type="spellEnd"/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)</w:t>
      </w:r>
    </w:p>
    <w:p w14:paraId="4981093B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93A24">
        <w:rPr>
          <w:rFonts w:ascii="Times New Roman" w:hAnsi="Times New Roman"/>
          <w:sz w:val="24"/>
          <w:szCs w:val="24"/>
          <w:lang w:val="uk-UA"/>
        </w:rPr>
        <w:t>Після останнього застосування препарату забій тварин на м’ясо дозволяється через 28 діб. М’ясо, отримане раніше вказаного терміну, утилізують або згодовують непродуктивним тваринам залежно від висновку лікаря ветеринарної медицини.</w:t>
      </w:r>
    </w:p>
    <w:p w14:paraId="764BEE67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5.12. Спеціальні застереження для осіб і обслуговуючого персоналу</w:t>
      </w:r>
    </w:p>
    <w:p w14:paraId="5A05DAAE" w14:textId="77777777" w:rsidR="00F97B97" w:rsidRPr="00293A24" w:rsidRDefault="00F97B97" w:rsidP="00F97B97">
      <w:pPr>
        <w:tabs>
          <w:tab w:val="num" w:pos="123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3A24">
        <w:rPr>
          <w:rFonts w:ascii="Times New Roman" w:hAnsi="Times New Roman"/>
          <w:sz w:val="24"/>
          <w:szCs w:val="24"/>
          <w:lang w:val="uk-UA"/>
        </w:rPr>
        <w:t>Персонал, який працює з ветеринарним препаратом, повинен дотримуватися основних правил гігієни та безпеки, прийнятих при роботі з ветеринарними препаратами</w:t>
      </w:r>
      <w:r w:rsidRPr="00293A24">
        <w:rPr>
          <w:rFonts w:ascii="Times New Roman" w:hAnsi="Times New Roman"/>
          <w:sz w:val="24"/>
          <w:szCs w:val="24"/>
        </w:rPr>
        <w:t>.</w:t>
      </w:r>
    </w:p>
    <w:p w14:paraId="2DA32964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6. Фармацевтичні особливості</w:t>
      </w:r>
    </w:p>
    <w:p w14:paraId="6777B58C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6.1. Форми несумісності (основні)</w:t>
      </w:r>
    </w:p>
    <w:p w14:paraId="767C9BFD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  <w:t xml:space="preserve">Не використовувати одночасно з </w:t>
      </w:r>
      <w:proofErr w:type="spellStart"/>
      <w:r w:rsidRPr="00293A24"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  <w:t>протипаразитарними</w:t>
      </w:r>
      <w:proofErr w:type="spellEnd"/>
      <w:r w:rsidRPr="00293A24"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  <w:t xml:space="preserve"> хлорорганічними та фосфорорганічними препаратами.</w:t>
      </w:r>
    </w:p>
    <w:p w14:paraId="25793AD6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6.2. Термін придатності</w:t>
      </w:r>
    </w:p>
    <w:p w14:paraId="36D2FC62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</w:t>
      </w:r>
      <w:r w:rsidRPr="00293A24">
        <w:rPr>
          <w:rFonts w:ascii="Times New Roman" w:eastAsia="Times New Roman" w:hAnsi="Times New Roman"/>
          <w:snapToGrid w:val="0"/>
          <w:sz w:val="24"/>
          <w:szCs w:val="24"/>
          <w:lang w:val="uk-UA" w:eastAsia="ru-RU"/>
        </w:rPr>
        <w:t xml:space="preserve"> роки.</w:t>
      </w:r>
    </w:p>
    <w:p w14:paraId="572910DE" w14:textId="77777777" w:rsidR="00F97B97" w:rsidRPr="00293A24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293A24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6.3. Особливі заходи безпеки при зберіганні</w:t>
      </w:r>
    </w:p>
    <w:p w14:paraId="5D79099C" w14:textId="0C86714C" w:rsidR="00F97B97" w:rsidRPr="0078796B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293A24">
        <w:rPr>
          <w:rFonts w:ascii="Times New Roman" w:eastAsia="Times New Roman" w:hAnsi="Times New Roman"/>
          <w:sz w:val="24"/>
          <w:szCs w:val="24"/>
          <w:lang w:val="uk-UA"/>
        </w:rPr>
        <w:t xml:space="preserve">У сухому </w:t>
      </w:r>
      <w:r w:rsidRPr="0078796B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темному, недоступному для дітей місці за температури від 5 до 25 </w:t>
      </w:r>
      <w:r w:rsidRPr="0078796B">
        <w:rPr>
          <w:rFonts w:ascii="Symbol" w:eastAsia="Symbol" w:hAnsi="Symbol" w:cs="Symbol"/>
          <w:sz w:val="24"/>
          <w:szCs w:val="24"/>
          <w:lang w:val="uk-UA"/>
        </w:rPr>
        <w:t></w:t>
      </w:r>
      <w:r w:rsidRPr="0078796B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С.</w:t>
      </w:r>
    </w:p>
    <w:p w14:paraId="07729445" w14:textId="77777777" w:rsidR="00F97B97" w:rsidRPr="0078796B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</w:pPr>
      <w:r w:rsidRPr="0078796B">
        <w:rPr>
          <w:rFonts w:ascii="Times New Roman" w:eastAsia="Times New Roman" w:hAnsi="Times New Roman"/>
          <w:b/>
          <w:snapToGrid w:val="0"/>
          <w:sz w:val="24"/>
          <w:szCs w:val="24"/>
          <w:lang w:val="uk-UA" w:eastAsia="ru-RU"/>
        </w:rPr>
        <w:t>6.4. Природа і склад контейнера первинного пакування</w:t>
      </w:r>
    </w:p>
    <w:p w14:paraId="51AED270" w14:textId="77777777" w:rsidR="00F97B97" w:rsidRPr="0078796B" w:rsidRDefault="00F97B97" w:rsidP="00F97B97">
      <w:pPr>
        <w:spacing w:after="0"/>
        <w:ind w:firstLine="567"/>
        <w:jc w:val="both"/>
        <w:rPr>
          <w:rFonts w:ascii="Times New Roman" w:hAnsi="Times New Roman"/>
          <w:color w:val="222222"/>
          <w:sz w:val="24"/>
          <w:szCs w:val="24"/>
          <w:lang w:val="uk-UA"/>
        </w:rPr>
      </w:pPr>
      <w:r w:rsidRPr="0078796B">
        <w:rPr>
          <w:rFonts w:ascii="Times New Roman" w:hAnsi="Times New Roman"/>
          <w:color w:val="222222"/>
          <w:sz w:val="24"/>
          <w:szCs w:val="24"/>
          <w:lang w:val="uk-UA"/>
        </w:rPr>
        <w:t>Скляні флакони по 10, 100, 200, 250 мл.</w:t>
      </w:r>
    </w:p>
    <w:p w14:paraId="3ACBF572" w14:textId="77777777" w:rsidR="00F97B97" w:rsidRPr="0078796B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 w:eastAsia="x-none"/>
        </w:rPr>
      </w:pPr>
      <w:r w:rsidRPr="0078796B">
        <w:rPr>
          <w:rFonts w:ascii="Times New Roman" w:eastAsia="Times New Roman" w:hAnsi="Times New Roman"/>
          <w:b/>
          <w:snapToGrid w:val="0"/>
          <w:sz w:val="24"/>
          <w:szCs w:val="24"/>
          <w:lang w:val="uk-UA" w:eastAsia="x-none"/>
        </w:rPr>
        <w:t>6.5. Особливі заходи безпеки при поводженні з невикористаним Препаратом або із його залишками.</w:t>
      </w:r>
    </w:p>
    <w:p w14:paraId="3D93D953" w14:textId="77777777" w:rsidR="00F97B97" w:rsidRPr="0078796B" w:rsidRDefault="00F97B97" w:rsidP="00F97B9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8796B">
        <w:rPr>
          <w:rFonts w:ascii="Times New Roman" w:hAnsi="Times New Roman"/>
          <w:sz w:val="24"/>
          <w:szCs w:val="24"/>
          <w:lang w:val="uk-UA"/>
        </w:rPr>
        <w:t xml:space="preserve">Невикористані та </w:t>
      </w:r>
      <w:proofErr w:type="spellStart"/>
      <w:r w:rsidRPr="0078796B">
        <w:rPr>
          <w:rFonts w:ascii="Times New Roman" w:hAnsi="Times New Roman"/>
          <w:sz w:val="24"/>
          <w:szCs w:val="24"/>
          <w:lang w:val="uk-UA"/>
        </w:rPr>
        <w:t>протерміновані</w:t>
      </w:r>
      <w:proofErr w:type="spellEnd"/>
      <w:r w:rsidRPr="0078796B">
        <w:rPr>
          <w:rFonts w:ascii="Times New Roman" w:hAnsi="Times New Roman"/>
          <w:sz w:val="24"/>
          <w:szCs w:val="24"/>
          <w:lang w:val="uk-UA"/>
        </w:rPr>
        <w:t xml:space="preserve"> залишки препарату утилізують відповідно до національних вимог.</w:t>
      </w:r>
    </w:p>
    <w:p w14:paraId="6C0526DB" w14:textId="77777777" w:rsidR="00F97B97" w:rsidRPr="0078796B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78796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7. Назва та місцезнаходження власника реєстраційного посвідчення</w:t>
      </w:r>
    </w:p>
    <w:p w14:paraId="1CB09A5E" w14:textId="77777777" w:rsidR="00F97B97" w:rsidRPr="0078796B" w:rsidRDefault="00F97B97" w:rsidP="00F97B97">
      <w:pPr>
        <w:suppressAutoHyphens/>
        <w:spacing w:after="0"/>
        <w:ind w:firstLine="567"/>
        <w:rPr>
          <w:rFonts w:ascii="Times New Roman" w:eastAsia="MS Minngs" w:hAnsi="Times New Roman"/>
          <w:sz w:val="24"/>
          <w:szCs w:val="24"/>
          <w:lang w:val="uk-UA" w:eastAsia="ar-SA"/>
        </w:rPr>
      </w:pPr>
      <w:r w:rsidRPr="0078796B">
        <w:rPr>
          <w:rFonts w:ascii="Times New Roman" w:eastAsia="MS Minngs" w:hAnsi="Times New Roman"/>
          <w:sz w:val="24"/>
          <w:szCs w:val="24"/>
          <w:lang w:val="uk-UA" w:eastAsia="ar-SA"/>
        </w:rPr>
        <w:t xml:space="preserve">ТОВ “БРОВАФАРМА”, </w:t>
      </w:r>
    </w:p>
    <w:p w14:paraId="3E1ED6E6" w14:textId="77777777" w:rsidR="00F97B97" w:rsidRPr="0078796B" w:rsidRDefault="00F97B97" w:rsidP="00F97B97">
      <w:pPr>
        <w:suppressAutoHyphens/>
        <w:spacing w:after="0"/>
        <w:ind w:firstLine="567"/>
        <w:rPr>
          <w:rFonts w:ascii="Times New Roman" w:eastAsia="MS Minngs" w:hAnsi="Times New Roman"/>
          <w:sz w:val="24"/>
          <w:szCs w:val="24"/>
          <w:lang w:val="uk-UA" w:eastAsia="ar-SA"/>
        </w:rPr>
      </w:pPr>
      <w:r w:rsidRPr="0078796B">
        <w:rPr>
          <w:rFonts w:ascii="Times New Roman" w:eastAsia="Times New Roman" w:hAnsi="Times New Roman"/>
          <w:sz w:val="24"/>
          <w:szCs w:val="24"/>
          <w:lang w:val="uk-UA" w:eastAsia="ru-RU"/>
        </w:rPr>
        <w:t>б-р Незалежності 18-а,</w:t>
      </w:r>
      <w:r w:rsidRPr="0078796B">
        <w:rPr>
          <w:rFonts w:ascii="Times New Roman" w:eastAsia="MS Minngs" w:hAnsi="Times New Roman"/>
          <w:sz w:val="24"/>
          <w:szCs w:val="24"/>
          <w:lang w:val="uk-UA" w:eastAsia="ar-SA"/>
        </w:rPr>
        <w:t xml:space="preserve"> м. Бровари, </w:t>
      </w:r>
      <w:r w:rsidRPr="0078796B">
        <w:rPr>
          <w:rFonts w:ascii="Times New Roman" w:eastAsia="Times New Roman" w:hAnsi="Times New Roman"/>
          <w:sz w:val="24"/>
          <w:szCs w:val="24"/>
          <w:lang w:val="uk-UA" w:eastAsia="ru-RU"/>
        </w:rPr>
        <w:t>Київська обл., 07400, Україна.</w:t>
      </w:r>
    </w:p>
    <w:p w14:paraId="40270BB9" w14:textId="77777777" w:rsidR="00F97B97" w:rsidRPr="0078796B" w:rsidRDefault="00F97B97" w:rsidP="00F97B97">
      <w:pPr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78796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 Назва та місцезнаходження виробника (виробників)</w:t>
      </w:r>
    </w:p>
    <w:p w14:paraId="34F98DB4" w14:textId="77777777" w:rsidR="00F97B97" w:rsidRPr="0078796B" w:rsidRDefault="00F97B97" w:rsidP="00F97B97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78796B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ТОВ “БРОВАФАРМА”, </w:t>
      </w:r>
    </w:p>
    <w:p w14:paraId="64BDEF88" w14:textId="77777777" w:rsidR="00F97B97" w:rsidRPr="0078796B" w:rsidRDefault="00F97B97" w:rsidP="00F97B97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78796B">
        <w:rPr>
          <w:rFonts w:ascii="Times New Roman" w:eastAsia="Times New Roman" w:hAnsi="Times New Roman"/>
          <w:sz w:val="24"/>
          <w:szCs w:val="24"/>
          <w:lang w:val="uk-UA" w:eastAsia="ar-SA"/>
        </w:rPr>
        <w:t>б-р Незалежності 18-а, м. Бровари, Київська обл., 07400, Україна.</w:t>
      </w:r>
    </w:p>
    <w:p w14:paraId="659B16A3" w14:textId="77777777" w:rsidR="00F97B97" w:rsidRPr="0078796B" w:rsidRDefault="00F97B97" w:rsidP="00F97B9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092895" w14:textId="77777777" w:rsidR="00572FEC" w:rsidRPr="00F97B97" w:rsidRDefault="00572FEC" w:rsidP="00F97B97"/>
    <w:sectPr w:rsidR="00572FEC" w:rsidRPr="00F97B97" w:rsidSect="00BD26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B7A7A"/>
    <w:multiLevelType w:val="hybridMultilevel"/>
    <w:tmpl w:val="AC92038A"/>
    <w:lvl w:ilvl="0" w:tplc="3280DE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A8"/>
    <w:rsid w:val="00042685"/>
    <w:rsid w:val="000A4A09"/>
    <w:rsid w:val="000D73A8"/>
    <w:rsid w:val="00124846"/>
    <w:rsid w:val="00131028"/>
    <w:rsid w:val="00191D81"/>
    <w:rsid w:val="00293A24"/>
    <w:rsid w:val="002A6340"/>
    <w:rsid w:val="004009D1"/>
    <w:rsid w:val="0048553C"/>
    <w:rsid w:val="005154C2"/>
    <w:rsid w:val="00533D9E"/>
    <w:rsid w:val="005348DC"/>
    <w:rsid w:val="0055699B"/>
    <w:rsid w:val="005716F1"/>
    <w:rsid w:val="00572FEC"/>
    <w:rsid w:val="005E4A82"/>
    <w:rsid w:val="005F0B28"/>
    <w:rsid w:val="00660A9B"/>
    <w:rsid w:val="00684A54"/>
    <w:rsid w:val="00697CB8"/>
    <w:rsid w:val="006B7028"/>
    <w:rsid w:val="0070335F"/>
    <w:rsid w:val="00716257"/>
    <w:rsid w:val="00716A3A"/>
    <w:rsid w:val="007265A7"/>
    <w:rsid w:val="00735C10"/>
    <w:rsid w:val="007828D0"/>
    <w:rsid w:val="00796E0D"/>
    <w:rsid w:val="007D3712"/>
    <w:rsid w:val="007F7E0C"/>
    <w:rsid w:val="0080403D"/>
    <w:rsid w:val="009E236F"/>
    <w:rsid w:val="009E4C6A"/>
    <w:rsid w:val="00A26531"/>
    <w:rsid w:val="00A8160A"/>
    <w:rsid w:val="00A95BD4"/>
    <w:rsid w:val="00AD4840"/>
    <w:rsid w:val="00B002B3"/>
    <w:rsid w:val="00B767AF"/>
    <w:rsid w:val="00B76C3D"/>
    <w:rsid w:val="00BD26D8"/>
    <w:rsid w:val="00BF1F89"/>
    <w:rsid w:val="00C13FE6"/>
    <w:rsid w:val="00CE34DB"/>
    <w:rsid w:val="00CF0190"/>
    <w:rsid w:val="00D17C07"/>
    <w:rsid w:val="00D942DD"/>
    <w:rsid w:val="00E32866"/>
    <w:rsid w:val="00E64CDF"/>
    <w:rsid w:val="00E83E48"/>
    <w:rsid w:val="00EA40FD"/>
    <w:rsid w:val="00EB03F1"/>
    <w:rsid w:val="00EF3A59"/>
    <w:rsid w:val="00F447C8"/>
    <w:rsid w:val="00F54ED9"/>
    <w:rsid w:val="00F97B97"/>
    <w:rsid w:val="00FF2440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3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73A8"/>
    <w:pPr>
      <w:spacing w:after="0" w:line="240" w:lineRule="auto"/>
      <w:jc w:val="both"/>
    </w:pPr>
    <w:rPr>
      <w:rFonts w:ascii="Arial" w:eastAsia="Times New Roman" w:hAnsi="Arial"/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rsid w:val="000D73A8"/>
    <w:rPr>
      <w:rFonts w:ascii="Arial" w:eastAsia="Times New Roman" w:hAnsi="Arial" w:cs="Times New Roman"/>
      <w:szCs w:val="20"/>
      <w:lang w:val="uk-UA" w:eastAsia="x-none"/>
    </w:rPr>
  </w:style>
  <w:style w:type="paragraph" w:customStyle="1" w:styleId="1">
    <w:name w:val="Обычный1"/>
    <w:rsid w:val="000D73A8"/>
    <w:pPr>
      <w:widowControl w:val="0"/>
      <w:spacing w:before="20" w:after="0" w:line="300" w:lineRule="auto"/>
      <w:jc w:val="both"/>
    </w:pPr>
    <w:rPr>
      <w:rFonts w:ascii="Arial" w:eastAsia="Times New Roman" w:hAnsi="Arial" w:cs="Times New Roman"/>
      <w:snapToGrid w:val="0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D73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D73A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0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0B28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D2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73A8"/>
    <w:pPr>
      <w:spacing w:after="0" w:line="240" w:lineRule="auto"/>
      <w:jc w:val="both"/>
    </w:pPr>
    <w:rPr>
      <w:rFonts w:ascii="Arial" w:eastAsia="Times New Roman" w:hAnsi="Arial"/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rsid w:val="000D73A8"/>
    <w:rPr>
      <w:rFonts w:ascii="Arial" w:eastAsia="Times New Roman" w:hAnsi="Arial" w:cs="Times New Roman"/>
      <w:szCs w:val="20"/>
      <w:lang w:val="uk-UA" w:eastAsia="x-none"/>
    </w:rPr>
  </w:style>
  <w:style w:type="paragraph" w:customStyle="1" w:styleId="1">
    <w:name w:val="Обычный1"/>
    <w:rsid w:val="000D73A8"/>
    <w:pPr>
      <w:widowControl w:val="0"/>
      <w:spacing w:before="20" w:after="0" w:line="300" w:lineRule="auto"/>
      <w:jc w:val="both"/>
    </w:pPr>
    <w:rPr>
      <w:rFonts w:ascii="Arial" w:eastAsia="Times New Roman" w:hAnsi="Arial" w:cs="Times New Roman"/>
      <w:snapToGrid w:val="0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D73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D73A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0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0B28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D2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4CB9-AB38-49E6-9860-14BC9994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4667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Шихевич</dc:creator>
  <cp:lastModifiedBy>админ3</cp:lastModifiedBy>
  <cp:revision>5</cp:revision>
  <cp:lastPrinted>2014-04-08T12:49:00Z</cp:lastPrinted>
  <dcterms:created xsi:type="dcterms:W3CDTF">2025-02-11T09:07:00Z</dcterms:created>
  <dcterms:modified xsi:type="dcterms:W3CDTF">2025-02-12T15:19:00Z</dcterms:modified>
</cp:coreProperties>
</file>