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8F" w:rsidRDefault="0062378F" w:rsidP="002A213C">
      <w:pPr>
        <w:jc w:val="right"/>
        <w:rPr>
          <w:lang w:val="uk-UA"/>
        </w:rPr>
      </w:pPr>
    </w:p>
    <w:p w:rsidR="0062378F" w:rsidRPr="006932A0" w:rsidRDefault="0062378F" w:rsidP="002A213C">
      <w:pPr>
        <w:jc w:val="right"/>
        <w:rPr>
          <w:lang w:val="uk-UA"/>
        </w:rPr>
      </w:pPr>
      <w:r w:rsidRPr="006932A0">
        <w:rPr>
          <w:lang w:val="uk-UA"/>
        </w:rPr>
        <w:t>Додаток 1</w:t>
      </w:r>
    </w:p>
    <w:p w:rsidR="0062378F" w:rsidRPr="006932A0" w:rsidRDefault="0062378F" w:rsidP="002A213C">
      <w:pPr>
        <w:jc w:val="right"/>
        <w:rPr>
          <w:lang w:val="uk-UA"/>
        </w:rPr>
      </w:pPr>
      <w:r w:rsidRPr="006932A0">
        <w:rPr>
          <w:lang w:val="uk-UA"/>
        </w:rPr>
        <w:t xml:space="preserve">до реєстраційного посвідчення АВ-03350-01-12 </w:t>
      </w:r>
    </w:p>
    <w:p w:rsidR="0062378F" w:rsidRPr="006932A0" w:rsidRDefault="0062378F" w:rsidP="002A213C">
      <w:pPr>
        <w:ind w:hanging="5940"/>
        <w:jc w:val="right"/>
        <w:rPr>
          <w:lang w:val="uk-UA"/>
        </w:rPr>
      </w:pPr>
    </w:p>
    <w:p w:rsidR="0062378F" w:rsidRPr="006932A0" w:rsidRDefault="0062378F" w:rsidP="002A213C">
      <w:pPr>
        <w:ind w:firstLine="567"/>
        <w:jc w:val="center"/>
        <w:rPr>
          <w:b/>
          <w:lang w:val="uk-UA"/>
        </w:rPr>
      </w:pPr>
      <w:r w:rsidRPr="006932A0">
        <w:rPr>
          <w:b/>
          <w:lang w:val="uk-UA"/>
        </w:rPr>
        <w:t>Коротка характеристика препарату</w:t>
      </w:r>
    </w:p>
    <w:p w:rsidR="0062378F" w:rsidRPr="006932A0" w:rsidRDefault="0062378F" w:rsidP="002A213C">
      <w:pPr>
        <w:ind w:firstLine="567"/>
        <w:jc w:val="center"/>
        <w:rPr>
          <w:b/>
          <w:lang w:val="uk-UA"/>
        </w:rPr>
      </w:pPr>
    </w:p>
    <w:p w:rsidR="0062378F" w:rsidRPr="006932A0" w:rsidRDefault="0062378F" w:rsidP="002A213C">
      <w:pPr>
        <w:tabs>
          <w:tab w:val="left" w:pos="0"/>
        </w:tabs>
        <w:ind w:firstLine="567"/>
        <w:rPr>
          <w:b/>
          <w:lang w:val="uk-UA"/>
        </w:rPr>
      </w:pPr>
      <w:r w:rsidRPr="006932A0">
        <w:rPr>
          <w:b/>
          <w:lang w:val="uk-UA"/>
        </w:rPr>
        <w:t>1. Назва</w:t>
      </w:r>
    </w:p>
    <w:p w:rsidR="0062378F" w:rsidRPr="006932A0" w:rsidRDefault="0062378F" w:rsidP="002A213C">
      <w:pPr>
        <w:tabs>
          <w:tab w:val="left" w:pos="0"/>
        </w:tabs>
        <w:ind w:firstLine="567"/>
        <w:rPr>
          <w:b/>
          <w:lang w:val="uk-UA"/>
        </w:rPr>
      </w:pPr>
      <w:r w:rsidRPr="006932A0">
        <w:rPr>
          <w:lang w:val="uk-UA"/>
        </w:rPr>
        <w:t xml:space="preserve">Альбендазол 10 % суспензія (суспензія для перорального застосування) </w:t>
      </w:r>
    </w:p>
    <w:p w:rsidR="0062378F" w:rsidRPr="006932A0" w:rsidRDefault="0062378F" w:rsidP="002A213C">
      <w:pPr>
        <w:tabs>
          <w:tab w:val="left" w:pos="0"/>
        </w:tabs>
        <w:ind w:firstLine="567"/>
        <w:rPr>
          <w:b/>
          <w:snapToGrid w:val="0"/>
          <w:lang w:val="uk-UA"/>
        </w:rPr>
      </w:pPr>
      <w:r w:rsidRPr="006932A0">
        <w:rPr>
          <w:b/>
          <w:snapToGrid w:val="0"/>
          <w:lang w:val="uk-UA"/>
        </w:rPr>
        <w:t>2. Склад</w:t>
      </w:r>
    </w:p>
    <w:p w:rsidR="0062378F" w:rsidRPr="006932A0" w:rsidRDefault="0062378F" w:rsidP="002A213C">
      <w:pPr>
        <w:pStyle w:val="Normal1"/>
        <w:ind w:firstLine="567"/>
        <w:rPr>
          <w:rFonts w:ascii="Times New Roman" w:hAnsi="Times New Roman"/>
          <w:sz w:val="24"/>
          <w:szCs w:val="24"/>
          <w:lang w:val="uk-UA"/>
        </w:rPr>
      </w:pPr>
      <w:r w:rsidRPr="006932A0">
        <w:rPr>
          <w:rFonts w:ascii="Times New Roman" w:hAnsi="Times New Roman"/>
          <w:sz w:val="24"/>
          <w:szCs w:val="24"/>
          <w:lang w:val="uk-UA"/>
        </w:rPr>
        <w:t>100 мл препарату містять діючу речовину:</w:t>
      </w:r>
    </w:p>
    <w:p w:rsidR="0062378F" w:rsidRPr="006932A0" w:rsidRDefault="0062378F" w:rsidP="002A213C">
      <w:pPr>
        <w:ind w:firstLine="567"/>
        <w:rPr>
          <w:lang w:val="uk-UA"/>
        </w:rPr>
      </w:pPr>
      <w:r w:rsidRPr="006932A0">
        <w:rPr>
          <w:lang w:val="uk-UA"/>
        </w:rPr>
        <w:t>альбендазол – 10 г.</w:t>
      </w:r>
    </w:p>
    <w:p w:rsidR="0062378F" w:rsidRPr="006932A0" w:rsidRDefault="0062378F" w:rsidP="002A213C">
      <w:pPr>
        <w:ind w:firstLine="567"/>
        <w:jc w:val="both"/>
        <w:rPr>
          <w:lang w:val="uk-UA"/>
        </w:rPr>
      </w:pPr>
      <w:r w:rsidRPr="006932A0">
        <w:rPr>
          <w:lang w:val="uk-UA"/>
        </w:rPr>
        <w:t>Допоміжні речовини: гліцерин, полісорбат, полівінілпірролідон, цукор пісок, натрію бензоат, калію сорбат, вода дистильована.</w:t>
      </w:r>
    </w:p>
    <w:p w:rsidR="0062378F" w:rsidRPr="006932A0" w:rsidRDefault="0062378F" w:rsidP="002A213C">
      <w:pPr>
        <w:tabs>
          <w:tab w:val="left" w:pos="0"/>
        </w:tabs>
        <w:ind w:firstLine="567"/>
        <w:rPr>
          <w:b/>
          <w:snapToGrid w:val="0"/>
          <w:lang w:val="uk-UA"/>
        </w:rPr>
      </w:pPr>
      <w:r w:rsidRPr="006932A0">
        <w:rPr>
          <w:b/>
          <w:snapToGrid w:val="0"/>
          <w:lang w:val="uk-UA"/>
        </w:rPr>
        <w:t>3. Фармацевтична (лікарська) форма</w:t>
      </w:r>
    </w:p>
    <w:p w:rsidR="0062378F" w:rsidRPr="006932A0" w:rsidRDefault="0062378F" w:rsidP="002A213C">
      <w:pPr>
        <w:ind w:firstLine="567"/>
        <w:rPr>
          <w:lang w:val="uk-UA"/>
        </w:rPr>
      </w:pPr>
      <w:r w:rsidRPr="006932A0">
        <w:rPr>
          <w:lang w:val="uk-UA"/>
        </w:rPr>
        <w:t>Суспензія для перорального застосування.</w:t>
      </w:r>
    </w:p>
    <w:p w:rsidR="0062378F" w:rsidRPr="006932A0" w:rsidRDefault="0062378F" w:rsidP="002A213C">
      <w:pPr>
        <w:tabs>
          <w:tab w:val="left" w:pos="0"/>
        </w:tabs>
        <w:ind w:firstLine="567"/>
        <w:rPr>
          <w:b/>
          <w:snapToGrid w:val="0"/>
          <w:lang w:val="uk-UA"/>
        </w:rPr>
      </w:pPr>
      <w:r w:rsidRPr="006932A0">
        <w:rPr>
          <w:b/>
          <w:snapToGrid w:val="0"/>
          <w:lang w:val="uk-UA"/>
        </w:rPr>
        <w:t>4. Фармакологічні властивості</w:t>
      </w:r>
    </w:p>
    <w:p w:rsidR="0062378F" w:rsidRPr="006932A0" w:rsidRDefault="0062378F" w:rsidP="002A213C">
      <w:pPr>
        <w:tabs>
          <w:tab w:val="left" w:pos="0"/>
        </w:tabs>
        <w:ind w:firstLine="567"/>
        <w:jc w:val="both"/>
        <w:rPr>
          <w:b/>
          <w:i/>
          <w:lang w:val="uk-UA"/>
        </w:rPr>
      </w:pPr>
      <w:r w:rsidRPr="006932A0">
        <w:rPr>
          <w:b/>
          <w:i/>
        </w:rPr>
        <w:t>ATC</w:t>
      </w:r>
      <w:r w:rsidRPr="006932A0">
        <w:rPr>
          <w:b/>
          <w:i/>
          <w:lang w:val="uk-UA"/>
        </w:rPr>
        <w:t xml:space="preserve"> </w:t>
      </w:r>
      <w:r w:rsidRPr="006932A0">
        <w:rPr>
          <w:b/>
          <w:i/>
        </w:rPr>
        <w:t>vet</w:t>
      </w:r>
      <w:r w:rsidRPr="006932A0">
        <w:rPr>
          <w:b/>
          <w:i/>
          <w:lang w:val="uk-UA"/>
        </w:rPr>
        <w:t xml:space="preserve"> класифікаційний код </w:t>
      </w:r>
      <w:r w:rsidRPr="006932A0">
        <w:rPr>
          <w:b/>
          <w:i/>
        </w:rPr>
        <w:t>Q</w:t>
      </w:r>
      <w:r w:rsidRPr="006932A0">
        <w:rPr>
          <w:b/>
          <w:i/>
          <w:lang w:val="uk-UA"/>
        </w:rPr>
        <w:t>Р52А, група протитрематодних, протинематодних і протицестодних ветеринарних препаратів (</w:t>
      </w:r>
      <w:r w:rsidRPr="006932A0">
        <w:rPr>
          <w:b/>
          <w:i/>
        </w:rPr>
        <w:t>Q</w:t>
      </w:r>
      <w:r w:rsidRPr="006932A0">
        <w:rPr>
          <w:b/>
          <w:i/>
          <w:lang w:val="uk-UA"/>
        </w:rPr>
        <w:t>Р52А С11, альбендазол).</w:t>
      </w:r>
    </w:p>
    <w:p w:rsidR="0062378F" w:rsidRPr="006932A0" w:rsidRDefault="0062378F" w:rsidP="002A213C">
      <w:pPr>
        <w:tabs>
          <w:tab w:val="left" w:pos="0"/>
        </w:tabs>
        <w:ind w:firstLine="567"/>
        <w:jc w:val="both"/>
        <w:rPr>
          <w:lang w:val="uk-UA"/>
        </w:rPr>
      </w:pPr>
      <w:r w:rsidRPr="006932A0">
        <w:rPr>
          <w:bCs/>
          <w:iCs/>
          <w:lang w:val="uk-UA"/>
        </w:rPr>
        <w:t>Діюча речовина препарату</w:t>
      </w:r>
      <w:r w:rsidRPr="006932A0">
        <w:rPr>
          <w:lang w:val="uk-UA"/>
        </w:rPr>
        <w:t>,</w:t>
      </w:r>
      <w:r w:rsidRPr="006932A0">
        <w:rPr>
          <w:bCs/>
          <w:iCs/>
          <w:lang w:val="uk-UA"/>
        </w:rPr>
        <w:t xml:space="preserve"> а</w:t>
      </w:r>
      <w:r w:rsidRPr="006932A0">
        <w:rPr>
          <w:lang w:val="uk-UA"/>
        </w:rPr>
        <w:t>льбендазол, належить до групи бензімідазолів з широким спектром антигельмінтної дії.</w:t>
      </w:r>
    </w:p>
    <w:p w:rsidR="0062378F" w:rsidRPr="006932A0" w:rsidRDefault="0062378F" w:rsidP="002A213C">
      <w:pPr>
        <w:ind w:firstLine="567"/>
        <w:jc w:val="both"/>
        <w:rPr>
          <w:lang w:val="uk-UA"/>
        </w:rPr>
      </w:pPr>
      <w:r w:rsidRPr="006932A0">
        <w:rPr>
          <w:lang w:val="uk-UA"/>
        </w:rPr>
        <w:t xml:space="preserve">Механізм дії альбендазолу обумовлений пригніченням синтезу тубулінового білка та гальмування активності фумаратредуктази. Наслідком цих процесів є складні порушення біохімічних процесів, які гальмують білковий синтез, порушують надходження і внутрішньоклітинне транспортування поживних речовин і обмін субстратів речовин, знижують мітохондріальні реакції, що призводить до загибелі паразитів. </w:t>
      </w:r>
    </w:p>
    <w:p w:rsidR="0062378F" w:rsidRPr="006932A0" w:rsidRDefault="0062378F" w:rsidP="002A213C">
      <w:pPr>
        <w:ind w:firstLine="567"/>
        <w:jc w:val="both"/>
        <w:rPr>
          <w:lang w:val="uk-UA"/>
        </w:rPr>
      </w:pPr>
      <w:r w:rsidRPr="006932A0">
        <w:rPr>
          <w:lang w:val="uk-UA"/>
        </w:rPr>
        <w:t xml:space="preserve">Альбендазол після перорального уведення в організм тварини слабо всмоктується з травному каналі. Разом з тим, активно метаболізується в основний метаболіт – сульфат альбендазолу, </w:t>
      </w:r>
      <w:r w:rsidRPr="006932A0">
        <w:t xml:space="preserve">що </w:t>
      </w:r>
      <w:r w:rsidRPr="006932A0">
        <w:rPr>
          <w:lang w:val="uk-UA"/>
        </w:rPr>
        <w:t xml:space="preserve">проникає в органи і тканини та </w:t>
      </w:r>
      <w:r w:rsidRPr="006932A0">
        <w:t>є основною ефективною речовиною</w:t>
      </w:r>
      <w:r w:rsidRPr="006932A0">
        <w:rPr>
          <w:lang w:val="uk-UA"/>
        </w:rPr>
        <w:t xml:space="preserve"> проти гельмінтів. Сульфат альбендазолу та інші метаболіти виводяться переважно з жовчю, і тільки невелика їх частина виводиться із сечею.</w:t>
      </w:r>
    </w:p>
    <w:p w:rsidR="0062378F" w:rsidRPr="006932A0" w:rsidRDefault="0062378F" w:rsidP="002A213C">
      <w:pPr>
        <w:ind w:firstLine="567"/>
        <w:jc w:val="both"/>
        <w:rPr>
          <w:lang w:val="uk-UA"/>
        </w:rPr>
      </w:pPr>
      <w:r w:rsidRPr="006932A0">
        <w:rPr>
          <w:lang w:val="uk-UA"/>
        </w:rPr>
        <w:t>Альбендазол застосовують тваринам без дотримання дієти і застосування послаблюючих речовин.</w:t>
      </w:r>
    </w:p>
    <w:p w:rsidR="0062378F" w:rsidRPr="006932A0" w:rsidRDefault="0062378F" w:rsidP="002A213C">
      <w:pPr>
        <w:ind w:firstLine="567"/>
        <w:jc w:val="both"/>
        <w:rPr>
          <w:b/>
          <w:snapToGrid w:val="0"/>
          <w:lang w:val="uk-UA"/>
        </w:rPr>
      </w:pPr>
      <w:r w:rsidRPr="006932A0">
        <w:rPr>
          <w:b/>
          <w:snapToGrid w:val="0"/>
          <w:lang w:val="uk-UA"/>
        </w:rPr>
        <w:t>5. Клінічні особливості</w:t>
      </w:r>
    </w:p>
    <w:p w:rsidR="0062378F" w:rsidRPr="006932A0" w:rsidRDefault="0062378F" w:rsidP="002A213C">
      <w:pPr>
        <w:widowControl w:val="0"/>
        <w:ind w:firstLine="567"/>
        <w:jc w:val="both"/>
        <w:rPr>
          <w:b/>
          <w:snapToGrid w:val="0"/>
          <w:lang w:val="uk-UA"/>
        </w:rPr>
      </w:pPr>
      <w:r w:rsidRPr="006932A0">
        <w:rPr>
          <w:b/>
          <w:snapToGrid w:val="0"/>
          <w:lang w:val="uk-UA"/>
        </w:rPr>
        <w:t>5.1 Вид тварин</w:t>
      </w:r>
    </w:p>
    <w:p w:rsidR="0062378F" w:rsidRPr="006932A0" w:rsidRDefault="0062378F" w:rsidP="002A213C">
      <w:pPr>
        <w:shd w:val="clear" w:color="auto" w:fill="FFFFFF"/>
        <w:ind w:firstLine="567"/>
        <w:jc w:val="both"/>
        <w:rPr>
          <w:rStyle w:val="a"/>
          <w:rFonts w:ascii="Times New Roman" w:hAnsi="Times New Roman"/>
          <w:sz w:val="24"/>
          <w:lang w:val="uk-UA"/>
        </w:rPr>
      </w:pPr>
      <w:r w:rsidRPr="006932A0">
        <w:rPr>
          <w:rStyle w:val="a"/>
          <w:rFonts w:ascii="Times New Roman" w:hAnsi="Times New Roman"/>
          <w:sz w:val="24"/>
          <w:lang w:val="uk-UA"/>
        </w:rPr>
        <w:t>Велика рогата худоба, вівці.</w:t>
      </w:r>
    </w:p>
    <w:p w:rsidR="0062378F" w:rsidRPr="006932A0" w:rsidRDefault="0062378F" w:rsidP="002A213C">
      <w:pPr>
        <w:pStyle w:val="BodyTextIndent3"/>
        <w:ind w:firstLine="567"/>
        <w:rPr>
          <w:szCs w:val="24"/>
        </w:rPr>
      </w:pPr>
      <w:r w:rsidRPr="006932A0">
        <w:rPr>
          <w:szCs w:val="24"/>
        </w:rPr>
        <w:t>5.2 Показання до застосування</w:t>
      </w:r>
    </w:p>
    <w:p w:rsidR="0062378F" w:rsidRPr="006932A0" w:rsidRDefault="0062378F" w:rsidP="002A213C">
      <w:pPr>
        <w:ind w:firstLine="567"/>
        <w:jc w:val="both"/>
        <w:rPr>
          <w:lang w:val="uk-UA"/>
        </w:rPr>
      </w:pPr>
      <w:r w:rsidRPr="006932A0">
        <w:rPr>
          <w:lang w:val="uk-UA"/>
        </w:rPr>
        <w:t>Дегельмінтизація великої рогатої худоби, овець при ураженні нематодами травного каналу та  дихальних шляхів, цестодами (монієзіоз, авітеліноз, тизанієзіоз), трематодами (фасціольоз за хронічного перебігу; дикроцеліоз).</w:t>
      </w:r>
    </w:p>
    <w:p w:rsidR="0062378F" w:rsidRPr="006932A0" w:rsidRDefault="0062378F" w:rsidP="002A213C">
      <w:pPr>
        <w:pStyle w:val="BodyTextIndent"/>
        <w:tabs>
          <w:tab w:val="left" w:pos="709"/>
        </w:tabs>
        <w:suppressAutoHyphens/>
        <w:spacing w:after="0"/>
        <w:ind w:left="0" w:firstLine="567"/>
        <w:jc w:val="both"/>
        <w:rPr>
          <w:b/>
          <w:snapToGrid w:val="0"/>
          <w:lang w:val="uk-UA"/>
        </w:rPr>
      </w:pPr>
      <w:r w:rsidRPr="006932A0">
        <w:rPr>
          <w:b/>
          <w:snapToGrid w:val="0"/>
          <w:lang w:val="uk-UA"/>
        </w:rPr>
        <w:t>5.3 Протипоказання</w:t>
      </w:r>
    </w:p>
    <w:p w:rsidR="0062378F" w:rsidRPr="006932A0" w:rsidRDefault="0062378F" w:rsidP="002A213C">
      <w:pPr>
        <w:ind w:firstLine="567"/>
        <w:jc w:val="both"/>
        <w:rPr>
          <w:lang w:val="uk-UA"/>
        </w:rPr>
      </w:pPr>
      <w:r w:rsidRPr="006932A0">
        <w:rPr>
          <w:lang w:val="uk-UA"/>
        </w:rPr>
        <w:t>Підвищена чутливість до альбендазолу.</w:t>
      </w:r>
    </w:p>
    <w:p w:rsidR="0062378F" w:rsidRPr="006932A0" w:rsidRDefault="0062378F" w:rsidP="002A213C">
      <w:pPr>
        <w:ind w:firstLine="567"/>
        <w:jc w:val="both"/>
        <w:rPr>
          <w:lang w:val="uk-UA"/>
        </w:rPr>
      </w:pPr>
      <w:r w:rsidRPr="006932A0">
        <w:rPr>
          <w:b/>
          <w:snapToGrid w:val="0"/>
          <w:lang w:val="uk-UA"/>
        </w:rPr>
        <w:t>5.4 Побічна дія</w:t>
      </w:r>
      <w:r w:rsidRPr="006932A0">
        <w:rPr>
          <w:lang w:val="uk-UA"/>
        </w:rPr>
        <w:t xml:space="preserve"> </w:t>
      </w:r>
    </w:p>
    <w:p w:rsidR="0062378F" w:rsidRPr="006932A0" w:rsidRDefault="0062378F" w:rsidP="002A213C">
      <w:pPr>
        <w:ind w:firstLine="567"/>
        <w:jc w:val="both"/>
        <w:rPr>
          <w:lang w:val="uk-UA"/>
        </w:rPr>
      </w:pPr>
      <w:r w:rsidRPr="006932A0">
        <w:rPr>
          <w:lang w:val="uk-UA"/>
        </w:rPr>
        <w:t>У тварин, чутливих до бензимідазолів, можливі ускладнення: алергічні реакції (висипання на шкірі, свербіж, набряки), порушення кровотворення.</w:t>
      </w:r>
    </w:p>
    <w:p w:rsidR="0062378F" w:rsidRPr="006932A0" w:rsidRDefault="0062378F" w:rsidP="002A213C">
      <w:pPr>
        <w:ind w:firstLine="567"/>
        <w:jc w:val="both"/>
        <w:rPr>
          <w:b/>
          <w:snapToGrid w:val="0"/>
          <w:lang w:val="uk-UA"/>
        </w:rPr>
      </w:pPr>
      <w:r w:rsidRPr="006932A0">
        <w:rPr>
          <w:b/>
          <w:snapToGrid w:val="0"/>
          <w:lang w:val="uk-UA"/>
        </w:rPr>
        <w:t>5.5 Особливі застереження при використанні</w:t>
      </w:r>
    </w:p>
    <w:p w:rsidR="0062378F" w:rsidRPr="006932A0" w:rsidRDefault="0062378F" w:rsidP="002A213C">
      <w:pPr>
        <w:ind w:firstLine="567"/>
        <w:jc w:val="both"/>
        <w:rPr>
          <w:snapToGrid w:val="0"/>
          <w:lang w:val="uk-UA"/>
        </w:rPr>
      </w:pPr>
      <w:r w:rsidRPr="006932A0">
        <w:rPr>
          <w:snapToGrid w:val="0"/>
          <w:lang w:val="uk-UA"/>
        </w:rPr>
        <w:t>Особливих застережень не має.</w:t>
      </w:r>
    </w:p>
    <w:p w:rsidR="0062378F" w:rsidRPr="006932A0" w:rsidRDefault="0062378F" w:rsidP="002A213C">
      <w:pPr>
        <w:widowControl w:val="0"/>
        <w:ind w:firstLine="567"/>
        <w:jc w:val="both"/>
        <w:rPr>
          <w:b/>
          <w:snapToGrid w:val="0"/>
          <w:lang w:val="uk-UA"/>
        </w:rPr>
      </w:pPr>
      <w:r w:rsidRPr="006932A0">
        <w:rPr>
          <w:b/>
          <w:snapToGrid w:val="0"/>
          <w:lang w:val="uk-UA"/>
        </w:rPr>
        <w:t>5.6 Використання під час вагітності, лактації, несучості</w:t>
      </w:r>
    </w:p>
    <w:p w:rsidR="0062378F" w:rsidRPr="006932A0" w:rsidRDefault="0062378F" w:rsidP="002A213C">
      <w:pPr>
        <w:ind w:firstLine="567"/>
        <w:jc w:val="both"/>
        <w:rPr>
          <w:lang w:val="uk-UA"/>
        </w:rPr>
      </w:pPr>
      <w:r w:rsidRPr="006932A0">
        <w:rPr>
          <w:lang w:val="uk-UA"/>
        </w:rPr>
        <w:t>Не застосовувати самкам у першу третину вагітності.</w:t>
      </w:r>
    </w:p>
    <w:p w:rsidR="0062378F" w:rsidRPr="006932A0" w:rsidRDefault="0062378F" w:rsidP="002A213C">
      <w:pPr>
        <w:widowControl w:val="0"/>
        <w:ind w:firstLine="567"/>
        <w:jc w:val="both"/>
        <w:rPr>
          <w:b/>
          <w:snapToGrid w:val="0"/>
          <w:lang w:val="uk-UA"/>
        </w:rPr>
      </w:pPr>
      <w:r w:rsidRPr="006932A0">
        <w:rPr>
          <w:b/>
          <w:snapToGrid w:val="0"/>
          <w:lang w:val="uk-UA"/>
        </w:rPr>
        <w:t>5.7 Взаємодія з іншими засобами та інші форми взаємодії</w:t>
      </w:r>
    </w:p>
    <w:p w:rsidR="0062378F" w:rsidRPr="006932A0" w:rsidRDefault="0062378F" w:rsidP="002A213C">
      <w:pPr>
        <w:ind w:firstLine="567"/>
        <w:jc w:val="lowKashida"/>
        <w:rPr>
          <w:lang w:val="uk-UA"/>
        </w:rPr>
      </w:pPr>
      <w:r w:rsidRPr="006932A0">
        <w:rPr>
          <w:snapToGrid w:val="0"/>
          <w:lang w:val="uk-UA"/>
        </w:rPr>
        <w:t>Не застосовувати одночасно з іншими проти паразитарними препаратами</w:t>
      </w:r>
      <w:r w:rsidRPr="006932A0">
        <w:rPr>
          <w:lang w:val="uk-UA"/>
        </w:rPr>
        <w:t>.</w:t>
      </w:r>
    </w:p>
    <w:p w:rsidR="0062378F" w:rsidRPr="006932A0" w:rsidRDefault="0062378F" w:rsidP="002A213C">
      <w:pPr>
        <w:widowControl w:val="0"/>
        <w:ind w:firstLine="567"/>
        <w:jc w:val="both"/>
        <w:rPr>
          <w:b/>
          <w:snapToGrid w:val="0"/>
          <w:lang w:val="uk-UA"/>
        </w:rPr>
      </w:pPr>
      <w:r w:rsidRPr="006932A0">
        <w:rPr>
          <w:b/>
          <w:snapToGrid w:val="0"/>
          <w:lang w:val="uk-UA"/>
        </w:rPr>
        <w:t>5.8 Дози і способи введення тваринам різного віку</w:t>
      </w:r>
    </w:p>
    <w:p w:rsidR="0062378F" w:rsidRPr="006932A0" w:rsidRDefault="0062378F" w:rsidP="002A213C">
      <w:pPr>
        <w:ind w:firstLine="567"/>
        <w:jc w:val="both"/>
        <w:rPr>
          <w:lang w:val="uk-UA"/>
        </w:rPr>
      </w:pPr>
      <w:r w:rsidRPr="006932A0">
        <w:rPr>
          <w:lang w:val="uk-UA"/>
        </w:rPr>
        <w:t>Препарат Альбендазол 10 % суспензія задається тваринам пероральним шляхом примусово індивідуально у дозах:</w:t>
      </w:r>
    </w:p>
    <w:p w:rsidR="0062378F" w:rsidRPr="006932A0" w:rsidRDefault="0062378F" w:rsidP="002A213C">
      <w:pPr>
        <w:ind w:firstLine="567"/>
        <w:jc w:val="both"/>
        <w:rPr>
          <w:lang w:val="uk-UA"/>
        </w:rPr>
      </w:pPr>
      <w:r w:rsidRPr="006932A0">
        <w:br w:type="page"/>
      </w:r>
    </w:p>
    <w:p w:rsidR="0062378F" w:rsidRPr="006932A0" w:rsidRDefault="0062378F" w:rsidP="002A213C">
      <w:pPr>
        <w:jc w:val="right"/>
        <w:rPr>
          <w:lang w:val="uk-UA"/>
        </w:rPr>
      </w:pPr>
      <w:r w:rsidRPr="006932A0">
        <w:rPr>
          <w:lang w:val="uk-UA"/>
        </w:rPr>
        <w:t>Продовження Додатку 1</w:t>
      </w:r>
    </w:p>
    <w:p w:rsidR="0062378F" w:rsidRPr="006932A0" w:rsidRDefault="0062378F" w:rsidP="002A213C">
      <w:pPr>
        <w:jc w:val="right"/>
        <w:rPr>
          <w:lang w:val="uk-UA"/>
        </w:rPr>
      </w:pPr>
      <w:r w:rsidRPr="006932A0">
        <w:rPr>
          <w:lang w:val="uk-UA"/>
        </w:rPr>
        <w:t>до реєстраційного посвідчення АВ-03350-01-12</w:t>
      </w:r>
    </w:p>
    <w:p w:rsidR="0062378F" w:rsidRPr="006932A0" w:rsidRDefault="0062378F" w:rsidP="002A213C">
      <w:pPr>
        <w:jc w:val="right"/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58"/>
        <w:gridCol w:w="6564"/>
        <w:gridCol w:w="2031"/>
      </w:tblGrid>
      <w:tr w:rsidR="0062378F" w:rsidRPr="006932A0" w:rsidTr="00CD1F09">
        <w:trPr>
          <w:trHeight w:val="523"/>
        </w:trPr>
        <w:tc>
          <w:tcPr>
            <w:tcW w:w="1272" w:type="dxa"/>
          </w:tcPr>
          <w:p w:rsidR="0062378F" w:rsidRPr="006932A0" w:rsidRDefault="0062378F" w:rsidP="002A213C">
            <w:pPr>
              <w:widowControl w:val="0"/>
              <w:suppressAutoHyphens/>
              <w:jc w:val="center"/>
              <w:rPr>
                <w:b/>
                <w:snapToGrid w:val="0"/>
                <w:lang w:val="uk-UA" w:eastAsia="ar-SA"/>
              </w:rPr>
            </w:pPr>
            <w:r w:rsidRPr="006932A0">
              <w:rPr>
                <w:b/>
                <w:snapToGrid w:val="0"/>
                <w:lang w:val="uk-UA" w:eastAsia="ar-SA"/>
              </w:rPr>
              <w:t>Вид тварин</w:t>
            </w:r>
          </w:p>
        </w:tc>
        <w:tc>
          <w:tcPr>
            <w:tcW w:w="6792" w:type="dxa"/>
          </w:tcPr>
          <w:p w:rsidR="0062378F" w:rsidRPr="006932A0" w:rsidRDefault="0062378F" w:rsidP="002A213C">
            <w:pPr>
              <w:widowControl w:val="0"/>
              <w:suppressAutoHyphens/>
              <w:jc w:val="center"/>
              <w:rPr>
                <w:b/>
                <w:snapToGrid w:val="0"/>
                <w:lang w:val="uk-UA" w:eastAsia="ar-SA"/>
              </w:rPr>
            </w:pPr>
            <w:r w:rsidRPr="006932A0">
              <w:rPr>
                <w:b/>
                <w:snapToGrid w:val="0"/>
                <w:lang w:val="uk-UA" w:eastAsia="ar-SA"/>
              </w:rPr>
              <w:t>Вид гельмінтів</w:t>
            </w:r>
          </w:p>
        </w:tc>
        <w:tc>
          <w:tcPr>
            <w:tcW w:w="2058" w:type="dxa"/>
          </w:tcPr>
          <w:p w:rsidR="0062378F" w:rsidRPr="006932A0" w:rsidRDefault="0062378F" w:rsidP="002A213C">
            <w:pPr>
              <w:widowControl w:val="0"/>
              <w:suppressAutoHyphens/>
              <w:jc w:val="center"/>
              <w:rPr>
                <w:b/>
                <w:snapToGrid w:val="0"/>
                <w:lang w:val="uk-UA" w:eastAsia="ar-SA"/>
              </w:rPr>
            </w:pPr>
            <w:r w:rsidRPr="006932A0">
              <w:rPr>
                <w:b/>
                <w:snapToGrid w:val="0"/>
                <w:lang w:val="uk-UA" w:eastAsia="ar-SA"/>
              </w:rPr>
              <w:t>Доза препарату, мл/10 кг маси тіла</w:t>
            </w:r>
          </w:p>
        </w:tc>
      </w:tr>
      <w:tr w:rsidR="0062378F" w:rsidRPr="006932A0" w:rsidTr="00CD1F09">
        <w:tc>
          <w:tcPr>
            <w:tcW w:w="1272" w:type="dxa"/>
            <w:vMerge w:val="restart"/>
          </w:tcPr>
          <w:p w:rsidR="0062378F" w:rsidRPr="006932A0" w:rsidRDefault="0062378F" w:rsidP="002A213C">
            <w:pPr>
              <w:widowControl w:val="0"/>
              <w:suppressAutoHyphens/>
              <w:jc w:val="both"/>
              <w:rPr>
                <w:b/>
                <w:snapToGrid w:val="0"/>
                <w:lang w:val="uk-UA" w:eastAsia="ar-SA"/>
              </w:rPr>
            </w:pPr>
            <w:r w:rsidRPr="006932A0">
              <w:rPr>
                <w:b/>
                <w:snapToGrid w:val="0"/>
                <w:lang w:val="uk-UA" w:eastAsia="ar-SA"/>
              </w:rPr>
              <w:t>Велика рогата худоба</w:t>
            </w:r>
          </w:p>
        </w:tc>
        <w:tc>
          <w:tcPr>
            <w:tcW w:w="6792" w:type="dxa"/>
          </w:tcPr>
          <w:p w:rsidR="0062378F" w:rsidRPr="006932A0" w:rsidRDefault="0062378F" w:rsidP="002A213C">
            <w:pPr>
              <w:jc w:val="both"/>
              <w:rPr>
                <w:b/>
                <w:bCs/>
                <w:lang w:val="uk-UA" w:eastAsia="uk-UA"/>
              </w:rPr>
            </w:pPr>
            <w:r w:rsidRPr="006932A0">
              <w:rPr>
                <w:b/>
                <w:bCs/>
                <w:lang w:val="uk-UA" w:eastAsia="uk-UA"/>
              </w:rPr>
              <w:t xml:space="preserve">Нематоди </w:t>
            </w:r>
            <w:r w:rsidRPr="006932A0">
              <w:rPr>
                <w:b/>
                <w:bCs/>
                <w:lang w:val="uk-UA" w:eastAsia="en-US"/>
              </w:rPr>
              <w:t>травного каналу:</w:t>
            </w:r>
          </w:p>
          <w:p w:rsidR="0062378F" w:rsidRPr="006932A0" w:rsidRDefault="0062378F" w:rsidP="002A213C">
            <w:pPr>
              <w:jc w:val="both"/>
              <w:rPr>
                <w:lang w:val="uk-UA" w:eastAsia="en-US"/>
              </w:rPr>
            </w:pPr>
            <w:r w:rsidRPr="006932A0">
              <w:rPr>
                <w:i/>
                <w:iCs/>
                <w:lang w:val="en-US" w:eastAsia="en-US"/>
              </w:rPr>
              <w:t>Haemonchus</w:t>
            </w:r>
            <w:r w:rsidRPr="006932A0">
              <w:rPr>
                <w:i/>
                <w:iCs/>
                <w:lang w:val="uk-UA" w:eastAsia="en-US"/>
              </w:rPr>
              <w:t xml:space="preserve"> р</w:t>
            </w:r>
            <w:r w:rsidRPr="006932A0">
              <w:rPr>
                <w:i/>
                <w:iCs/>
                <w:lang w:val="en-US" w:eastAsia="en-US"/>
              </w:rPr>
              <w:t>l</w:t>
            </w:r>
            <w:r w:rsidRPr="006932A0">
              <w:rPr>
                <w:i/>
                <w:iCs/>
                <w:lang w:val="uk-UA" w:eastAsia="en-US"/>
              </w:rPr>
              <w:t xml:space="preserve">асеі, </w:t>
            </w:r>
            <w:r w:rsidRPr="006932A0">
              <w:rPr>
                <w:i/>
                <w:iCs/>
                <w:lang w:val="en-US" w:eastAsia="en-US"/>
              </w:rPr>
              <w:t>Bunostomum</w:t>
            </w:r>
            <w:r w:rsidRPr="006932A0">
              <w:rPr>
                <w:i/>
                <w:iCs/>
                <w:lang w:val="uk-UA" w:eastAsia="en-US"/>
              </w:rPr>
              <w:t xml:space="preserve"> </w:t>
            </w:r>
            <w:r w:rsidRPr="006932A0">
              <w:rPr>
                <w:i/>
                <w:iCs/>
                <w:lang w:val="en-US" w:eastAsia="en-US"/>
              </w:rPr>
              <w:t>phlebotomum</w:t>
            </w:r>
            <w:r w:rsidRPr="006932A0">
              <w:rPr>
                <w:i/>
                <w:iCs/>
                <w:lang w:val="uk-UA" w:eastAsia="en-US"/>
              </w:rPr>
              <w:t xml:space="preserve">, </w:t>
            </w:r>
            <w:r w:rsidRPr="006932A0">
              <w:rPr>
                <w:i/>
                <w:iCs/>
                <w:lang w:val="en-US" w:eastAsia="en-US"/>
              </w:rPr>
              <w:t>Nematodirus</w:t>
            </w:r>
            <w:r w:rsidRPr="006932A0">
              <w:rPr>
                <w:i/>
                <w:iCs/>
                <w:lang w:val="uk-UA" w:eastAsia="en-US"/>
              </w:rPr>
              <w:t xml:space="preserve"> </w:t>
            </w:r>
            <w:r w:rsidRPr="006932A0">
              <w:rPr>
                <w:i/>
                <w:iCs/>
                <w:lang w:val="en-US" w:eastAsia="en-US"/>
              </w:rPr>
              <w:t>spathiger</w:t>
            </w:r>
            <w:r w:rsidRPr="006932A0">
              <w:rPr>
                <w:i/>
                <w:iCs/>
                <w:lang w:val="uk-UA" w:eastAsia="en-US"/>
              </w:rPr>
              <w:t xml:space="preserve">, </w:t>
            </w:r>
            <w:r w:rsidRPr="006932A0">
              <w:rPr>
                <w:i/>
                <w:iCs/>
                <w:lang w:val="en-US" w:eastAsia="en-US"/>
              </w:rPr>
              <w:t>Nematodirus</w:t>
            </w:r>
            <w:r w:rsidRPr="006932A0">
              <w:rPr>
                <w:i/>
                <w:iCs/>
                <w:lang w:val="uk-UA" w:eastAsia="en-US"/>
              </w:rPr>
              <w:t xml:space="preserve"> </w:t>
            </w:r>
            <w:r w:rsidRPr="006932A0">
              <w:rPr>
                <w:i/>
                <w:iCs/>
                <w:lang w:val="en-US" w:eastAsia="en-US"/>
              </w:rPr>
              <w:t>helvetianus</w:t>
            </w:r>
            <w:r w:rsidRPr="006932A0">
              <w:rPr>
                <w:i/>
                <w:iCs/>
                <w:lang w:val="uk-UA" w:eastAsia="en-US"/>
              </w:rPr>
              <w:t xml:space="preserve">, </w:t>
            </w:r>
            <w:r w:rsidRPr="006932A0">
              <w:rPr>
                <w:i/>
                <w:iCs/>
                <w:lang w:val="en-US" w:eastAsia="en-US"/>
              </w:rPr>
              <w:t>Oesophagostomum</w:t>
            </w:r>
            <w:r w:rsidRPr="006932A0">
              <w:rPr>
                <w:i/>
                <w:iCs/>
                <w:lang w:val="uk-UA" w:eastAsia="en-US"/>
              </w:rPr>
              <w:t xml:space="preserve"> </w:t>
            </w:r>
            <w:r w:rsidRPr="006932A0">
              <w:rPr>
                <w:i/>
                <w:iCs/>
                <w:lang w:val="en-US" w:eastAsia="en-US"/>
              </w:rPr>
              <w:t>radiatum</w:t>
            </w:r>
            <w:r w:rsidRPr="006932A0">
              <w:rPr>
                <w:i/>
                <w:iCs/>
                <w:lang w:val="uk-UA" w:eastAsia="en-US"/>
              </w:rPr>
              <w:t xml:space="preserve">, </w:t>
            </w:r>
            <w:r w:rsidRPr="006932A0">
              <w:rPr>
                <w:i/>
                <w:iCs/>
                <w:lang w:val="en-US" w:eastAsia="en-US"/>
              </w:rPr>
              <w:t>Ostertagia</w:t>
            </w:r>
            <w:r w:rsidRPr="006932A0">
              <w:rPr>
                <w:i/>
                <w:iCs/>
                <w:lang w:val="uk-UA" w:eastAsia="en-US"/>
              </w:rPr>
              <w:t xml:space="preserve"> </w:t>
            </w:r>
            <w:r w:rsidRPr="006932A0">
              <w:rPr>
                <w:i/>
                <w:iCs/>
                <w:lang w:val="en-US" w:eastAsia="en-US"/>
              </w:rPr>
              <w:t>ostertagi</w:t>
            </w:r>
            <w:r w:rsidRPr="006932A0">
              <w:rPr>
                <w:i/>
                <w:iCs/>
                <w:lang w:val="uk-UA" w:eastAsia="en-US"/>
              </w:rPr>
              <w:t xml:space="preserve">, </w:t>
            </w:r>
            <w:r w:rsidRPr="006932A0">
              <w:rPr>
                <w:i/>
                <w:iCs/>
                <w:lang w:val="en-US" w:eastAsia="en-US"/>
              </w:rPr>
              <w:t>Trichostrongylus</w:t>
            </w:r>
            <w:r w:rsidRPr="006932A0">
              <w:rPr>
                <w:i/>
                <w:iCs/>
                <w:lang w:val="uk-UA" w:eastAsia="en-US"/>
              </w:rPr>
              <w:t xml:space="preserve"> </w:t>
            </w:r>
            <w:r w:rsidRPr="006932A0">
              <w:rPr>
                <w:i/>
                <w:iCs/>
                <w:lang w:val="en-US" w:eastAsia="en-US"/>
              </w:rPr>
              <w:t>axei</w:t>
            </w:r>
            <w:r w:rsidRPr="006932A0">
              <w:rPr>
                <w:i/>
                <w:iCs/>
                <w:lang w:val="uk-UA" w:eastAsia="en-US"/>
              </w:rPr>
              <w:t xml:space="preserve">, </w:t>
            </w:r>
            <w:r w:rsidRPr="006932A0">
              <w:rPr>
                <w:i/>
                <w:iCs/>
                <w:lang w:val="en-US" w:eastAsia="en-US"/>
              </w:rPr>
              <w:t>Trichostrongylus</w:t>
            </w:r>
            <w:r w:rsidRPr="006932A0">
              <w:rPr>
                <w:i/>
                <w:iCs/>
                <w:lang w:val="uk-UA" w:eastAsia="en-US"/>
              </w:rPr>
              <w:t xml:space="preserve"> </w:t>
            </w:r>
            <w:r w:rsidRPr="006932A0">
              <w:rPr>
                <w:i/>
                <w:iCs/>
                <w:lang w:val="en-US" w:eastAsia="en-US"/>
              </w:rPr>
              <w:t>colubriformis</w:t>
            </w:r>
            <w:r w:rsidRPr="006932A0">
              <w:rPr>
                <w:i/>
                <w:iCs/>
                <w:lang w:val="uk-UA" w:eastAsia="en-US"/>
              </w:rPr>
              <w:t xml:space="preserve">, </w:t>
            </w:r>
            <w:r w:rsidRPr="006932A0">
              <w:rPr>
                <w:i/>
                <w:iCs/>
                <w:lang w:val="en-US" w:eastAsia="en-US"/>
              </w:rPr>
              <w:t>Cooperia</w:t>
            </w:r>
            <w:r w:rsidRPr="006932A0">
              <w:rPr>
                <w:i/>
                <w:iCs/>
                <w:lang w:val="uk-UA" w:eastAsia="en-US"/>
              </w:rPr>
              <w:t xml:space="preserve"> </w:t>
            </w:r>
            <w:r w:rsidRPr="006932A0">
              <w:rPr>
                <w:i/>
                <w:iCs/>
                <w:lang w:val="en-US" w:eastAsia="en-US"/>
              </w:rPr>
              <w:t>punctata</w:t>
            </w:r>
            <w:r w:rsidRPr="006932A0">
              <w:rPr>
                <w:i/>
                <w:iCs/>
                <w:lang w:val="uk-UA" w:eastAsia="en-US"/>
              </w:rPr>
              <w:t xml:space="preserve">, </w:t>
            </w:r>
            <w:r w:rsidRPr="006932A0">
              <w:rPr>
                <w:i/>
                <w:iCs/>
                <w:lang w:val="en-US" w:eastAsia="en-US"/>
              </w:rPr>
              <w:t>Cooperia</w:t>
            </w:r>
            <w:r w:rsidRPr="006932A0">
              <w:rPr>
                <w:i/>
                <w:iCs/>
                <w:lang w:val="uk-UA" w:eastAsia="en-US"/>
              </w:rPr>
              <w:t xml:space="preserve"> </w:t>
            </w:r>
            <w:r w:rsidRPr="006932A0">
              <w:rPr>
                <w:i/>
                <w:iCs/>
                <w:lang w:val="en-US" w:eastAsia="en-US"/>
              </w:rPr>
              <w:t>oncophora</w:t>
            </w:r>
            <w:r w:rsidRPr="006932A0">
              <w:rPr>
                <w:i/>
                <w:iCs/>
                <w:lang w:val="uk-UA" w:eastAsia="en-US"/>
              </w:rPr>
              <w:t xml:space="preserve">, </w:t>
            </w:r>
            <w:r w:rsidRPr="006932A0">
              <w:rPr>
                <w:i/>
                <w:iCs/>
                <w:lang w:val="uk-UA" w:eastAsia="uk-UA"/>
              </w:rPr>
              <w:t>Trichuris skrjabini</w:t>
            </w:r>
            <w:r w:rsidRPr="006932A0">
              <w:rPr>
                <w:lang w:val="uk-UA" w:eastAsia="uk-UA"/>
              </w:rPr>
              <w:t xml:space="preserve">, </w:t>
            </w:r>
            <w:r w:rsidRPr="006932A0">
              <w:rPr>
                <w:i/>
                <w:iCs/>
                <w:lang w:val="en-US" w:eastAsia="en-US"/>
              </w:rPr>
              <w:t>Strongyloides</w:t>
            </w:r>
            <w:r w:rsidRPr="006932A0">
              <w:rPr>
                <w:i/>
                <w:iCs/>
                <w:lang w:val="uk-UA" w:eastAsia="en-US"/>
              </w:rPr>
              <w:t xml:space="preserve"> </w:t>
            </w:r>
            <w:r w:rsidRPr="006932A0">
              <w:rPr>
                <w:i/>
                <w:iCs/>
                <w:lang w:val="en-US" w:eastAsia="en-US"/>
              </w:rPr>
              <w:t>papillosus</w:t>
            </w:r>
            <w:r w:rsidRPr="006932A0">
              <w:rPr>
                <w:i/>
                <w:iCs/>
                <w:lang w:val="uk-UA" w:eastAsia="en-US"/>
              </w:rPr>
              <w:t xml:space="preserve">, </w:t>
            </w:r>
            <w:r w:rsidRPr="006932A0">
              <w:rPr>
                <w:i/>
                <w:iCs/>
                <w:lang w:val="en-US" w:eastAsia="en-US"/>
              </w:rPr>
              <w:t>Neoascaris</w:t>
            </w:r>
            <w:r w:rsidRPr="006932A0">
              <w:rPr>
                <w:i/>
                <w:iCs/>
                <w:lang w:val="uk-UA" w:eastAsia="uk-UA"/>
              </w:rPr>
              <w:t xml:space="preserve">/Toxocara </w:t>
            </w:r>
            <w:r w:rsidRPr="006932A0">
              <w:rPr>
                <w:i/>
                <w:iCs/>
                <w:lang w:val="en-US" w:eastAsia="en-US"/>
              </w:rPr>
              <w:t>vitulorum</w:t>
            </w:r>
          </w:p>
          <w:p w:rsidR="0062378F" w:rsidRPr="006932A0" w:rsidRDefault="0062378F" w:rsidP="002A213C">
            <w:pPr>
              <w:jc w:val="both"/>
              <w:rPr>
                <w:b/>
                <w:bCs/>
                <w:lang w:val="uk-UA" w:eastAsia="en-US"/>
              </w:rPr>
            </w:pPr>
            <w:r w:rsidRPr="006932A0">
              <w:rPr>
                <w:b/>
                <w:bCs/>
                <w:lang w:val="uk-UA" w:eastAsia="uk-UA"/>
              </w:rPr>
              <w:t xml:space="preserve">Нематоди </w:t>
            </w:r>
            <w:r w:rsidRPr="006932A0">
              <w:rPr>
                <w:b/>
                <w:bCs/>
                <w:lang w:val="uk-UA" w:eastAsia="en-US"/>
              </w:rPr>
              <w:t>дихальних шляхів:</w:t>
            </w:r>
          </w:p>
          <w:p w:rsidR="0062378F" w:rsidRPr="006932A0" w:rsidRDefault="0062378F" w:rsidP="002A213C">
            <w:pPr>
              <w:jc w:val="both"/>
              <w:rPr>
                <w:b/>
                <w:bCs/>
                <w:i/>
                <w:iCs/>
                <w:lang w:val="uk-UA" w:eastAsia="uk-UA"/>
              </w:rPr>
            </w:pPr>
            <w:r w:rsidRPr="006932A0">
              <w:rPr>
                <w:i/>
                <w:iCs/>
                <w:lang w:val="en-US" w:eastAsia="en-US"/>
              </w:rPr>
              <w:t>Dictyocaulus</w:t>
            </w:r>
            <w:r w:rsidRPr="006932A0">
              <w:rPr>
                <w:i/>
                <w:iCs/>
                <w:lang w:val="uk-UA" w:eastAsia="en-US"/>
              </w:rPr>
              <w:t xml:space="preserve"> </w:t>
            </w:r>
            <w:r w:rsidRPr="006932A0">
              <w:rPr>
                <w:i/>
                <w:iCs/>
                <w:lang w:val="en-US" w:eastAsia="en-US"/>
              </w:rPr>
              <w:t>viv</w:t>
            </w:r>
            <w:r w:rsidRPr="006932A0">
              <w:rPr>
                <w:i/>
                <w:iCs/>
                <w:lang w:val="uk-UA" w:eastAsia="en-US"/>
              </w:rPr>
              <w:t>і</w:t>
            </w:r>
            <w:r w:rsidRPr="006932A0">
              <w:rPr>
                <w:i/>
                <w:iCs/>
                <w:lang w:val="en-US" w:eastAsia="en-US"/>
              </w:rPr>
              <w:t>parus</w:t>
            </w:r>
          </w:p>
          <w:p w:rsidR="0062378F" w:rsidRPr="006932A0" w:rsidRDefault="0062378F" w:rsidP="002A213C">
            <w:pPr>
              <w:jc w:val="both"/>
              <w:rPr>
                <w:b/>
                <w:bCs/>
                <w:lang w:val="uk-UA" w:eastAsia="en-US"/>
              </w:rPr>
            </w:pPr>
            <w:r w:rsidRPr="006932A0">
              <w:rPr>
                <w:b/>
                <w:bCs/>
                <w:lang w:val="uk-UA" w:eastAsia="uk-UA"/>
              </w:rPr>
              <w:t>Цестоди преімагінальні та імагінальні</w:t>
            </w:r>
            <w:r w:rsidRPr="006932A0">
              <w:rPr>
                <w:b/>
                <w:bCs/>
                <w:lang w:val="uk-UA" w:eastAsia="en-US"/>
              </w:rPr>
              <w:t xml:space="preserve">: </w:t>
            </w:r>
          </w:p>
          <w:p w:rsidR="0062378F" w:rsidRPr="006932A0" w:rsidRDefault="0062378F" w:rsidP="002A213C">
            <w:pPr>
              <w:jc w:val="both"/>
              <w:rPr>
                <w:b/>
                <w:bCs/>
                <w:lang w:val="uk-UA" w:eastAsia="uk-UA"/>
              </w:rPr>
            </w:pPr>
            <w:r w:rsidRPr="006932A0">
              <w:rPr>
                <w:i/>
                <w:iCs/>
                <w:lang w:val="sv-SE" w:eastAsia="en-US"/>
              </w:rPr>
              <w:t xml:space="preserve">Moniezia spp., Avitellina centripunctata, Thysaniezia ovilla (syn. </w:t>
            </w:r>
            <w:r w:rsidRPr="006932A0">
              <w:rPr>
                <w:i/>
                <w:iCs/>
                <w:lang w:val="en-US" w:eastAsia="en-US"/>
              </w:rPr>
              <w:t>Th</w:t>
            </w:r>
            <w:r w:rsidRPr="00DA0964">
              <w:rPr>
                <w:i/>
                <w:iCs/>
                <w:lang w:val="uk-UA" w:eastAsia="en-US"/>
              </w:rPr>
              <w:t>у</w:t>
            </w:r>
            <w:r w:rsidRPr="006932A0">
              <w:rPr>
                <w:i/>
                <w:iCs/>
                <w:lang w:val="en-US" w:eastAsia="en-US"/>
              </w:rPr>
              <w:t>saniezia</w:t>
            </w:r>
            <w:r w:rsidRPr="006932A0">
              <w:rPr>
                <w:i/>
                <w:iCs/>
                <w:lang w:val="uk-UA" w:eastAsia="en-US"/>
              </w:rPr>
              <w:t xml:space="preserve"> </w:t>
            </w:r>
            <w:r w:rsidRPr="006932A0">
              <w:rPr>
                <w:i/>
                <w:iCs/>
                <w:lang w:val="en-US" w:eastAsia="en-US"/>
              </w:rPr>
              <w:t>giardi</w:t>
            </w:r>
            <w:r w:rsidRPr="00DA0964">
              <w:rPr>
                <w:i/>
                <w:iCs/>
                <w:lang w:val="uk-UA" w:eastAsia="en-US"/>
              </w:rPr>
              <w:t>)</w:t>
            </w:r>
          </w:p>
        </w:tc>
        <w:tc>
          <w:tcPr>
            <w:tcW w:w="2058" w:type="dxa"/>
          </w:tcPr>
          <w:p w:rsidR="0062378F" w:rsidRPr="006932A0" w:rsidRDefault="0062378F" w:rsidP="002A213C">
            <w:pPr>
              <w:widowControl w:val="0"/>
              <w:suppressAutoHyphens/>
              <w:jc w:val="both"/>
              <w:rPr>
                <w:snapToGrid w:val="0"/>
                <w:lang w:val="uk-UA" w:eastAsia="ar-SA"/>
              </w:rPr>
            </w:pPr>
            <w:r w:rsidRPr="006932A0">
              <w:rPr>
                <w:snapToGrid w:val="0"/>
                <w:lang w:val="uk-UA" w:eastAsia="ar-SA"/>
              </w:rPr>
              <w:t>0,75 (одноразово)</w:t>
            </w:r>
          </w:p>
        </w:tc>
      </w:tr>
      <w:tr w:rsidR="0062378F" w:rsidRPr="006932A0" w:rsidTr="00CD1F09">
        <w:tc>
          <w:tcPr>
            <w:tcW w:w="1272" w:type="dxa"/>
            <w:vMerge/>
          </w:tcPr>
          <w:p w:rsidR="0062378F" w:rsidRPr="006932A0" w:rsidRDefault="0062378F" w:rsidP="002A213C">
            <w:pPr>
              <w:widowControl w:val="0"/>
              <w:suppressAutoHyphens/>
              <w:jc w:val="both"/>
              <w:rPr>
                <w:b/>
                <w:snapToGrid w:val="0"/>
                <w:lang w:val="uk-UA" w:eastAsia="ar-SA"/>
              </w:rPr>
            </w:pPr>
          </w:p>
        </w:tc>
        <w:tc>
          <w:tcPr>
            <w:tcW w:w="6792" w:type="dxa"/>
          </w:tcPr>
          <w:p w:rsidR="0062378F" w:rsidRPr="006932A0" w:rsidRDefault="0062378F" w:rsidP="002A213C">
            <w:pPr>
              <w:jc w:val="both"/>
              <w:rPr>
                <w:b/>
                <w:bCs/>
                <w:lang w:val="uk-UA" w:eastAsia="en-US"/>
              </w:rPr>
            </w:pPr>
            <w:r w:rsidRPr="006932A0">
              <w:rPr>
                <w:b/>
                <w:bCs/>
                <w:lang w:val="uk-UA" w:eastAsia="uk-UA"/>
              </w:rPr>
              <w:t>Трематоди печінки (статевозрілі)</w:t>
            </w:r>
            <w:r w:rsidRPr="006932A0">
              <w:rPr>
                <w:b/>
                <w:bCs/>
                <w:lang w:val="uk-UA" w:eastAsia="en-US"/>
              </w:rPr>
              <w:t xml:space="preserve">: </w:t>
            </w:r>
          </w:p>
          <w:p w:rsidR="0062378F" w:rsidRPr="006932A0" w:rsidRDefault="0062378F" w:rsidP="002A213C">
            <w:pPr>
              <w:jc w:val="both"/>
              <w:rPr>
                <w:snapToGrid w:val="0"/>
                <w:lang w:val="uk-UA" w:eastAsia="ar-SA"/>
              </w:rPr>
            </w:pPr>
            <w:r w:rsidRPr="006932A0">
              <w:rPr>
                <w:i/>
                <w:iCs/>
                <w:lang w:val="en-US" w:eastAsia="en-US"/>
              </w:rPr>
              <w:t>Fasciola</w:t>
            </w:r>
            <w:r w:rsidRPr="006932A0">
              <w:rPr>
                <w:i/>
                <w:iCs/>
                <w:lang w:val="uk-UA" w:eastAsia="en-US"/>
              </w:rPr>
              <w:t xml:space="preserve"> </w:t>
            </w:r>
            <w:r w:rsidRPr="006932A0">
              <w:rPr>
                <w:i/>
                <w:iCs/>
                <w:lang w:val="en-US" w:eastAsia="en-US"/>
              </w:rPr>
              <w:t>hepatica</w:t>
            </w:r>
            <w:r w:rsidRPr="006932A0">
              <w:rPr>
                <w:lang w:val="uk-UA" w:eastAsia="en-US"/>
              </w:rPr>
              <w:t xml:space="preserve">, </w:t>
            </w:r>
            <w:r w:rsidRPr="006932A0">
              <w:rPr>
                <w:i/>
                <w:iCs/>
                <w:lang w:val="uk-UA" w:eastAsia="uk-UA"/>
              </w:rPr>
              <w:t>Dicrocоelium lanceatum/dendriticum</w:t>
            </w:r>
          </w:p>
        </w:tc>
        <w:tc>
          <w:tcPr>
            <w:tcW w:w="2058" w:type="dxa"/>
          </w:tcPr>
          <w:p w:rsidR="0062378F" w:rsidRPr="006932A0" w:rsidRDefault="0062378F" w:rsidP="002A213C">
            <w:pPr>
              <w:widowControl w:val="0"/>
              <w:suppressAutoHyphens/>
              <w:jc w:val="both"/>
              <w:rPr>
                <w:snapToGrid w:val="0"/>
                <w:lang w:val="uk-UA" w:eastAsia="ar-SA"/>
              </w:rPr>
            </w:pPr>
            <w:r w:rsidRPr="006932A0">
              <w:rPr>
                <w:snapToGrid w:val="0"/>
                <w:lang w:val="uk-UA" w:eastAsia="ar-SA"/>
              </w:rPr>
              <w:t>1,0 (одноразово)</w:t>
            </w:r>
          </w:p>
        </w:tc>
      </w:tr>
      <w:tr w:rsidR="0062378F" w:rsidRPr="006932A0" w:rsidTr="00CD1F09">
        <w:tc>
          <w:tcPr>
            <w:tcW w:w="1272" w:type="dxa"/>
            <w:vMerge w:val="restart"/>
          </w:tcPr>
          <w:p w:rsidR="0062378F" w:rsidRPr="006932A0" w:rsidRDefault="0062378F" w:rsidP="002A213C">
            <w:pPr>
              <w:widowControl w:val="0"/>
              <w:suppressAutoHyphens/>
              <w:jc w:val="both"/>
              <w:rPr>
                <w:b/>
                <w:snapToGrid w:val="0"/>
                <w:lang w:val="uk-UA" w:eastAsia="ar-SA"/>
              </w:rPr>
            </w:pPr>
            <w:r w:rsidRPr="006932A0">
              <w:rPr>
                <w:b/>
                <w:snapToGrid w:val="0"/>
                <w:lang w:val="uk-UA" w:eastAsia="ar-SA"/>
              </w:rPr>
              <w:t>Вівці</w:t>
            </w:r>
          </w:p>
        </w:tc>
        <w:tc>
          <w:tcPr>
            <w:tcW w:w="6792" w:type="dxa"/>
          </w:tcPr>
          <w:p w:rsidR="0062378F" w:rsidRPr="006932A0" w:rsidRDefault="0062378F" w:rsidP="002A213C">
            <w:pPr>
              <w:jc w:val="both"/>
              <w:rPr>
                <w:b/>
                <w:bCs/>
                <w:lang w:val="uk-UA" w:eastAsia="uk-UA"/>
              </w:rPr>
            </w:pPr>
            <w:r w:rsidRPr="006932A0">
              <w:rPr>
                <w:b/>
                <w:bCs/>
                <w:lang w:val="uk-UA" w:eastAsia="uk-UA"/>
              </w:rPr>
              <w:t xml:space="preserve">Нематоди </w:t>
            </w:r>
            <w:r w:rsidRPr="006932A0">
              <w:rPr>
                <w:b/>
                <w:bCs/>
                <w:lang w:val="uk-UA" w:eastAsia="en-US"/>
              </w:rPr>
              <w:t>травного каналу:</w:t>
            </w:r>
          </w:p>
          <w:p w:rsidR="0062378F" w:rsidRPr="006932A0" w:rsidRDefault="0062378F" w:rsidP="002A213C">
            <w:pPr>
              <w:jc w:val="both"/>
              <w:rPr>
                <w:i/>
                <w:iCs/>
                <w:lang w:val="uk-UA" w:eastAsia="en-US"/>
              </w:rPr>
            </w:pPr>
            <w:r w:rsidRPr="006932A0">
              <w:rPr>
                <w:i/>
                <w:iCs/>
                <w:lang w:val="en-US" w:eastAsia="en-US"/>
              </w:rPr>
              <w:t>Haemonchus</w:t>
            </w:r>
            <w:r w:rsidRPr="006932A0">
              <w:rPr>
                <w:i/>
                <w:iCs/>
                <w:lang w:val="uk-UA" w:eastAsia="en-US"/>
              </w:rPr>
              <w:t xml:space="preserve"> </w:t>
            </w:r>
            <w:r w:rsidRPr="006932A0">
              <w:rPr>
                <w:i/>
                <w:iCs/>
                <w:lang w:val="en-US" w:eastAsia="en-US"/>
              </w:rPr>
              <w:t>contortus</w:t>
            </w:r>
            <w:r w:rsidRPr="006932A0">
              <w:rPr>
                <w:lang w:val="uk-UA" w:eastAsia="en-US"/>
              </w:rPr>
              <w:t xml:space="preserve">, </w:t>
            </w:r>
            <w:r w:rsidRPr="006932A0">
              <w:rPr>
                <w:i/>
                <w:iCs/>
                <w:lang w:val="en-US" w:eastAsia="en-US"/>
              </w:rPr>
              <w:t>Bunostomum</w:t>
            </w:r>
            <w:r w:rsidRPr="006932A0">
              <w:rPr>
                <w:i/>
                <w:iCs/>
                <w:lang w:val="uk-UA" w:eastAsia="en-US"/>
              </w:rPr>
              <w:t xml:space="preserve"> </w:t>
            </w:r>
            <w:r w:rsidRPr="006932A0">
              <w:rPr>
                <w:i/>
                <w:iCs/>
                <w:lang w:val="en-US" w:eastAsia="en-US"/>
              </w:rPr>
              <w:t>tridonocephalum</w:t>
            </w:r>
            <w:r w:rsidRPr="006932A0">
              <w:rPr>
                <w:lang w:val="uk-UA" w:eastAsia="en-US"/>
              </w:rPr>
              <w:t xml:space="preserve">, </w:t>
            </w:r>
            <w:r w:rsidRPr="006932A0">
              <w:rPr>
                <w:i/>
                <w:iCs/>
                <w:lang w:val="en-US" w:eastAsia="en-US"/>
              </w:rPr>
              <w:t>Nematodirus</w:t>
            </w:r>
            <w:r w:rsidRPr="006932A0">
              <w:rPr>
                <w:i/>
                <w:iCs/>
                <w:lang w:val="uk-UA" w:eastAsia="en-US"/>
              </w:rPr>
              <w:t xml:space="preserve"> </w:t>
            </w:r>
            <w:r w:rsidRPr="006932A0">
              <w:rPr>
                <w:i/>
                <w:iCs/>
                <w:lang w:val="en-US" w:eastAsia="en-US"/>
              </w:rPr>
              <w:t>spathiger</w:t>
            </w:r>
            <w:r w:rsidRPr="006932A0">
              <w:rPr>
                <w:lang w:val="uk-UA" w:eastAsia="en-US"/>
              </w:rPr>
              <w:t xml:space="preserve">, </w:t>
            </w:r>
            <w:r w:rsidRPr="006932A0">
              <w:rPr>
                <w:i/>
                <w:iCs/>
                <w:lang w:val="uk-UA" w:eastAsia="uk-UA"/>
              </w:rPr>
              <w:t>N. filicollis</w:t>
            </w:r>
            <w:r w:rsidRPr="006932A0">
              <w:rPr>
                <w:lang w:val="uk-UA" w:eastAsia="uk-UA"/>
              </w:rPr>
              <w:t xml:space="preserve">, </w:t>
            </w:r>
            <w:r w:rsidRPr="006932A0">
              <w:rPr>
                <w:i/>
                <w:iCs/>
                <w:lang w:val="en-US" w:eastAsia="en-US"/>
              </w:rPr>
              <w:t>Oesophagostomum</w:t>
            </w:r>
            <w:r w:rsidRPr="006932A0">
              <w:rPr>
                <w:i/>
                <w:iCs/>
                <w:lang w:val="uk-UA" w:eastAsia="en-US"/>
              </w:rPr>
              <w:t xml:space="preserve"> </w:t>
            </w:r>
            <w:r w:rsidRPr="006932A0">
              <w:rPr>
                <w:i/>
                <w:iCs/>
                <w:lang w:val="en-US" w:eastAsia="en-US"/>
              </w:rPr>
              <w:t>venulosum</w:t>
            </w:r>
            <w:r w:rsidRPr="006932A0">
              <w:rPr>
                <w:lang w:val="uk-UA" w:eastAsia="en-US"/>
              </w:rPr>
              <w:t xml:space="preserve">, </w:t>
            </w:r>
            <w:r w:rsidRPr="006932A0">
              <w:rPr>
                <w:i/>
                <w:iCs/>
                <w:lang w:val="en-US" w:eastAsia="en-US"/>
              </w:rPr>
              <w:t>Oesophagostomum</w:t>
            </w:r>
            <w:r w:rsidRPr="006932A0">
              <w:rPr>
                <w:i/>
                <w:iCs/>
                <w:lang w:val="uk-UA" w:eastAsia="en-US"/>
              </w:rPr>
              <w:t xml:space="preserve"> с</w:t>
            </w:r>
            <w:r w:rsidRPr="006932A0">
              <w:rPr>
                <w:i/>
                <w:iCs/>
                <w:lang w:val="en-US" w:eastAsia="en-US"/>
              </w:rPr>
              <w:t>olumbianum</w:t>
            </w:r>
            <w:r w:rsidRPr="006932A0">
              <w:rPr>
                <w:lang w:val="uk-UA" w:eastAsia="en-US"/>
              </w:rPr>
              <w:t xml:space="preserve">, </w:t>
            </w:r>
            <w:r w:rsidRPr="006932A0">
              <w:rPr>
                <w:i/>
                <w:iCs/>
                <w:lang w:val="uk-UA" w:eastAsia="uk-UA"/>
              </w:rPr>
              <w:t>Ostertagia circumcincta</w:t>
            </w:r>
            <w:r w:rsidRPr="006932A0">
              <w:rPr>
                <w:i/>
                <w:lang w:val="uk-UA" w:eastAsia="uk-UA"/>
              </w:rPr>
              <w:t xml:space="preserve">, </w:t>
            </w:r>
            <w:r w:rsidRPr="006932A0">
              <w:rPr>
                <w:i/>
                <w:iCs/>
                <w:lang w:val="uk-UA" w:eastAsia="uk-UA"/>
              </w:rPr>
              <w:t>Marshallagia marshalli</w:t>
            </w:r>
            <w:r w:rsidRPr="006932A0">
              <w:rPr>
                <w:i/>
                <w:lang w:val="uk-UA" w:eastAsia="uk-UA"/>
              </w:rPr>
              <w:t xml:space="preserve">, </w:t>
            </w:r>
            <w:r w:rsidRPr="006932A0">
              <w:rPr>
                <w:i/>
                <w:iCs/>
                <w:lang w:val="uk-UA" w:eastAsia="uk-UA"/>
              </w:rPr>
              <w:t>Trichostrongylus axei</w:t>
            </w:r>
            <w:r w:rsidRPr="006932A0">
              <w:rPr>
                <w:i/>
                <w:lang w:val="uk-UA" w:eastAsia="uk-UA"/>
              </w:rPr>
              <w:t xml:space="preserve">, </w:t>
            </w:r>
            <w:r w:rsidRPr="006932A0">
              <w:rPr>
                <w:i/>
                <w:iCs/>
                <w:lang w:val="uk-UA" w:eastAsia="uk-UA"/>
              </w:rPr>
              <w:t>Trichostrongylus colubriformis, Cooperia oncophora</w:t>
            </w:r>
            <w:r w:rsidRPr="006932A0">
              <w:rPr>
                <w:i/>
                <w:lang w:val="uk-UA" w:eastAsia="uk-UA"/>
              </w:rPr>
              <w:t xml:space="preserve">, </w:t>
            </w:r>
            <w:r w:rsidRPr="006932A0">
              <w:rPr>
                <w:i/>
                <w:iCs/>
                <w:lang w:val="en-US" w:eastAsia="en-US"/>
              </w:rPr>
              <w:t>Chabertia</w:t>
            </w:r>
            <w:r w:rsidRPr="006932A0">
              <w:rPr>
                <w:i/>
                <w:iCs/>
                <w:lang w:val="uk-UA" w:eastAsia="en-US"/>
              </w:rPr>
              <w:t xml:space="preserve"> </w:t>
            </w:r>
            <w:r w:rsidRPr="006932A0">
              <w:rPr>
                <w:i/>
                <w:iCs/>
                <w:lang w:val="en-US" w:eastAsia="en-US"/>
              </w:rPr>
              <w:t>ovina</w:t>
            </w:r>
            <w:r w:rsidRPr="006932A0">
              <w:rPr>
                <w:i/>
                <w:iCs/>
                <w:lang w:val="uk-UA" w:eastAsia="en-US"/>
              </w:rPr>
              <w:t xml:space="preserve">, </w:t>
            </w:r>
            <w:r w:rsidRPr="006932A0">
              <w:rPr>
                <w:i/>
                <w:iCs/>
                <w:lang w:val="uk-UA" w:eastAsia="uk-UA"/>
              </w:rPr>
              <w:t>Skrjabinema ovis</w:t>
            </w:r>
            <w:r w:rsidRPr="006932A0">
              <w:rPr>
                <w:i/>
                <w:lang w:val="uk-UA" w:eastAsia="uk-UA"/>
              </w:rPr>
              <w:t xml:space="preserve">, </w:t>
            </w:r>
            <w:r w:rsidRPr="006932A0">
              <w:rPr>
                <w:i/>
                <w:iCs/>
                <w:lang w:val="en-US" w:eastAsia="en-US"/>
              </w:rPr>
              <w:t>Trichuris</w:t>
            </w:r>
            <w:r w:rsidRPr="006932A0">
              <w:rPr>
                <w:i/>
                <w:iCs/>
                <w:lang w:val="uk-UA" w:eastAsia="en-US"/>
              </w:rPr>
              <w:t xml:space="preserve"> </w:t>
            </w:r>
            <w:r w:rsidRPr="006932A0">
              <w:rPr>
                <w:i/>
                <w:iCs/>
                <w:lang w:val="uk-UA" w:eastAsia="uk-UA"/>
              </w:rPr>
              <w:t xml:space="preserve">ovis, </w:t>
            </w:r>
            <w:r w:rsidRPr="006932A0">
              <w:rPr>
                <w:i/>
                <w:iCs/>
                <w:lang w:val="en-US" w:eastAsia="en-US"/>
              </w:rPr>
              <w:t>Trichuris</w:t>
            </w:r>
            <w:r w:rsidRPr="006932A0">
              <w:rPr>
                <w:i/>
                <w:iCs/>
                <w:lang w:val="uk-UA" w:eastAsia="en-US"/>
              </w:rPr>
              <w:t xml:space="preserve"> </w:t>
            </w:r>
            <w:r w:rsidRPr="006932A0">
              <w:rPr>
                <w:i/>
                <w:iCs/>
                <w:lang w:val="uk-UA" w:eastAsia="uk-UA"/>
              </w:rPr>
              <w:t>globulosa</w:t>
            </w:r>
            <w:r w:rsidRPr="006932A0">
              <w:rPr>
                <w:i/>
                <w:iCs/>
                <w:lang w:val="uk-UA" w:eastAsia="en-US"/>
              </w:rPr>
              <w:t xml:space="preserve">, </w:t>
            </w:r>
            <w:r w:rsidRPr="006932A0">
              <w:rPr>
                <w:i/>
                <w:iCs/>
                <w:lang w:val="en-US" w:eastAsia="en-US"/>
              </w:rPr>
              <w:t>Strongyloides</w:t>
            </w:r>
            <w:r w:rsidRPr="006932A0">
              <w:rPr>
                <w:i/>
                <w:iCs/>
                <w:lang w:val="uk-UA" w:eastAsia="en-US"/>
              </w:rPr>
              <w:t xml:space="preserve"> </w:t>
            </w:r>
            <w:r w:rsidRPr="006932A0">
              <w:rPr>
                <w:i/>
                <w:lang w:val="en-US" w:eastAsia="en-US"/>
              </w:rPr>
              <w:t>papillosus</w:t>
            </w:r>
          </w:p>
          <w:p w:rsidR="0062378F" w:rsidRPr="006932A0" w:rsidRDefault="0062378F" w:rsidP="002A213C">
            <w:pPr>
              <w:jc w:val="both"/>
              <w:rPr>
                <w:lang w:val="uk-UA" w:eastAsia="en-US"/>
              </w:rPr>
            </w:pPr>
            <w:r w:rsidRPr="006932A0">
              <w:rPr>
                <w:b/>
                <w:bCs/>
                <w:lang w:val="uk-UA" w:eastAsia="uk-UA"/>
              </w:rPr>
              <w:t xml:space="preserve">Нематоди </w:t>
            </w:r>
            <w:r w:rsidRPr="006932A0">
              <w:rPr>
                <w:b/>
                <w:bCs/>
                <w:lang w:val="uk-UA" w:eastAsia="en-US"/>
              </w:rPr>
              <w:t>дихальних шляхів:</w:t>
            </w:r>
          </w:p>
          <w:p w:rsidR="0062378F" w:rsidRPr="006932A0" w:rsidRDefault="0062378F" w:rsidP="002A213C">
            <w:pPr>
              <w:jc w:val="both"/>
              <w:rPr>
                <w:lang w:val="uk-UA" w:eastAsia="uk-UA"/>
              </w:rPr>
            </w:pPr>
            <w:r w:rsidRPr="006932A0">
              <w:rPr>
                <w:i/>
                <w:iCs/>
                <w:lang w:val="en-US" w:eastAsia="en-US"/>
              </w:rPr>
              <w:t>Dictyocaulus</w:t>
            </w:r>
            <w:r w:rsidRPr="006932A0">
              <w:rPr>
                <w:i/>
                <w:iCs/>
                <w:lang w:val="uk-UA" w:eastAsia="en-US"/>
              </w:rPr>
              <w:t xml:space="preserve"> </w:t>
            </w:r>
            <w:r w:rsidRPr="006932A0">
              <w:rPr>
                <w:i/>
                <w:iCs/>
                <w:lang w:val="en-US" w:eastAsia="en-US"/>
              </w:rPr>
              <w:t>filaria</w:t>
            </w:r>
            <w:r w:rsidRPr="006932A0">
              <w:rPr>
                <w:lang w:val="uk-UA" w:eastAsia="en-US"/>
              </w:rPr>
              <w:t xml:space="preserve">, </w:t>
            </w:r>
            <w:r w:rsidRPr="006932A0">
              <w:rPr>
                <w:i/>
                <w:iCs/>
                <w:lang w:val="en-US" w:eastAsia="en-US"/>
              </w:rPr>
              <w:t>Muellerius</w:t>
            </w:r>
            <w:r w:rsidRPr="006932A0">
              <w:rPr>
                <w:i/>
                <w:iCs/>
                <w:lang w:val="uk-UA" w:eastAsia="en-US"/>
              </w:rPr>
              <w:t xml:space="preserve"> </w:t>
            </w:r>
            <w:r w:rsidRPr="006932A0">
              <w:rPr>
                <w:i/>
                <w:iCs/>
                <w:lang w:val="en-US" w:eastAsia="en-US"/>
              </w:rPr>
              <w:t>capillaris</w:t>
            </w:r>
            <w:r w:rsidRPr="006932A0">
              <w:rPr>
                <w:lang w:val="uk-UA" w:eastAsia="en-US"/>
              </w:rPr>
              <w:t xml:space="preserve">, </w:t>
            </w:r>
            <w:r w:rsidRPr="006932A0">
              <w:rPr>
                <w:i/>
                <w:iCs/>
                <w:lang w:val="uk-UA" w:eastAsia="uk-UA"/>
              </w:rPr>
              <w:t>Protostrongylus kochi</w:t>
            </w:r>
          </w:p>
          <w:p w:rsidR="0062378F" w:rsidRPr="006932A0" w:rsidRDefault="0062378F" w:rsidP="002A213C">
            <w:pPr>
              <w:jc w:val="both"/>
              <w:rPr>
                <w:b/>
                <w:bCs/>
                <w:lang w:val="uk-UA" w:eastAsia="en-US"/>
              </w:rPr>
            </w:pPr>
            <w:r w:rsidRPr="006932A0">
              <w:rPr>
                <w:b/>
                <w:bCs/>
                <w:lang w:val="uk-UA" w:eastAsia="uk-UA"/>
              </w:rPr>
              <w:t>Цестоди преімагінальні та імагінальні</w:t>
            </w:r>
            <w:r w:rsidRPr="006932A0">
              <w:rPr>
                <w:b/>
                <w:bCs/>
                <w:lang w:val="uk-UA" w:eastAsia="en-US"/>
              </w:rPr>
              <w:t xml:space="preserve">: </w:t>
            </w:r>
          </w:p>
          <w:p w:rsidR="0062378F" w:rsidRPr="006932A0" w:rsidRDefault="0062378F" w:rsidP="002A213C">
            <w:pPr>
              <w:jc w:val="both"/>
              <w:rPr>
                <w:b/>
                <w:bCs/>
                <w:lang w:val="uk-UA" w:eastAsia="uk-UA"/>
              </w:rPr>
            </w:pPr>
            <w:r w:rsidRPr="006932A0">
              <w:rPr>
                <w:i/>
                <w:iCs/>
                <w:lang w:val="en-US" w:eastAsia="en-US"/>
              </w:rPr>
              <w:t>Moniezia</w:t>
            </w:r>
            <w:r w:rsidRPr="006932A0">
              <w:rPr>
                <w:i/>
                <w:iCs/>
                <w:lang w:val="uk-UA" w:eastAsia="en-US"/>
              </w:rPr>
              <w:t xml:space="preserve"> </w:t>
            </w:r>
            <w:r w:rsidRPr="006932A0">
              <w:rPr>
                <w:i/>
                <w:iCs/>
                <w:lang w:val="en-US" w:eastAsia="en-US"/>
              </w:rPr>
              <w:t>spp</w:t>
            </w:r>
            <w:r w:rsidRPr="006932A0">
              <w:rPr>
                <w:i/>
                <w:iCs/>
                <w:lang w:val="uk-UA" w:eastAsia="en-US"/>
              </w:rPr>
              <w:t xml:space="preserve">., </w:t>
            </w:r>
            <w:r w:rsidRPr="006932A0">
              <w:rPr>
                <w:i/>
                <w:iCs/>
                <w:lang w:val="en-US" w:eastAsia="en-US"/>
              </w:rPr>
              <w:t>Avitellina</w:t>
            </w:r>
            <w:r w:rsidRPr="006932A0">
              <w:rPr>
                <w:i/>
                <w:iCs/>
                <w:lang w:val="uk-UA" w:eastAsia="en-US"/>
              </w:rPr>
              <w:t xml:space="preserve"> </w:t>
            </w:r>
            <w:r w:rsidRPr="006932A0">
              <w:rPr>
                <w:i/>
                <w:iCs/>
                <w:lang w:val="en-US" w:eastAsia="en-US"/>
              </w:rPr>
              <w:t>centripunctata</w:t>
            </w:r>
            <w:r w:rsidRPr="006932A0">
              <w:rPr>
                <w:lang w:val="uk-UA" w:eastAsia="en-US"/>
              </w:rPr>
              <w:t xml:space="preserve">, </w:t>
            </w:r>
            <w:r w:rsidRPr="006932A0">
              <w:rPr>
                <w:i/>
                <w:iCs/>
                <w:lang w:val="en-US" w:eastAsia="en-US"/>
              </w:rPr>
              <w:t>Thysaniezia</w:t>
            </w:r>
            <w:r w:rsidRPr="006932A0">
              <w:rPr>
                <w:i/>
                <w:iCs/>
                <w:lang w:val="uk-UA" w:eastAsia="en-US"/>
              </w:rPr>
              <w:t xml:space="preserve"> </w:t>
            </w:r>
            <w:r w:rsidRPr="006932A0">
              <w:rPr>
                <w:i/>
                <w:iCs/>
                <w:lang w:val="en-US" w:eastAsia="en-US"/>
              </w:rPr>
              <w:t>ovilla</w:t>
            </w:r>
            <w:r w:rsidRPr="006932A0">
              <w:rPr>
                <w:i/>
                <w:iCs/>
                <w:lang w:val="uk-UA" w:eastAsia="en-US"/>
              </w:rPr>
              <w:t xml:space="preserve"> </w:t>
            </w:r>
            <w:r w:rsidRPr="006932A0">
              <w:rPr>
                <w:lang w:val="uk-UA" w:eastAsia="en-US"/>
              </w:rPr>
              <w:t>(</w:t>
            </w:r>
            <w:r w:rsidRPr="006932A0">
              <w:rPr>
                <w:lang w:val="en-US" w:eastAsia="en-US"/>
              </w:rPr>
              <w:t>syn</w:t>
            </w:r>
            <w:r w:rsidRPr="006932A0">
              <w:rPr>
                <w:lang w:val="uk-UA" w:eastAsia="en-US"/>
              </w:rPr>
              <w:t xml:space="preserve">. </w:t>
            </w:r>
            <w:r w:rsidRPr="006932A0">
              <w:rPr>
                <w:i/>
                <w:iCs/>
                <w:lang w:eastAsia="en-US"/>
              </w:rPr>
              <w:t>Th</w:t>
            </w:r>
            <w:r w:rsidRPr="006932A0">
              <w:rPr>
                <w:i/>
                <w:iCs/>
                <w:lang w:val="uk-UA" w:eastAsia="en-US"/>
              </w:rPr>
              <w:t>у</w:t>
            </w:r>
            <w:r w:rsidRPr="006932A0">
              <w:rPr>
                <w:i/>
                <w:iCs/>
                <w:lang w:eastAsia="en-US"/>
              </w:rPr>
              <w:t>saniezia</w:t>
            </w:r>
            <w:r w:rsidRPr="006932A0">
              <w:rPr>
                <w:i/>
                <w:iCs/>
                <w:lang w:val="uk-UA" w:eastAsia="en-US"/>
              </w:rPr>
              <w:t xml:space="preserve"> </w:t>
            </w:r>
            <w:r w:rsidRPr="006932A0">
              <w:rPr>
                <w:i/>
                <w:iCs/>
                <w:lang w:eastAsia="en-US"/>
              </w:rPr>
              <w:t>giardi</w:t>
            </w:r>
            <w:r w:rsidRPr="006932A0">
              <w:rPr>
                <w:lang w:val="uk-UA" w:eastAsia="en-US"/>
              </w:rPr>
              <w:t>)</w:t>
            </w:r>
          </w:p>
        </w:tc>
        <w:tc>
          <w:tcPr>
            <w:tcW w:w="2058" w:type="dxa"/>
          </w:tcPr>
          <w:p w:rsidR="0062378F" w:rsidRPr="006932A0" w:rsidRDefault="0062378F" w:rsidP="002A213C">
            <w:pPr>
              <w:widowControl w:val="0"/>
              <w:suppressAutoHyphens/>
              <w:jc w:val="both"/>
              <w:rPr>
                <w:snapToGrid w:val="0"/>
                <w:lang w:val="uk-UA" w:eastAsia="ar-SA"/>
              </w:rPr>
            </w:pPr>
            <w:r w:rsidRPr="006932A0">
              <w:rPr>
                <w:snapToGrid w:val="0"/>
                <w:lang w:val="uk-UA" w:eastAsia="ar-SA"/>
              </w:rPr>
              <w:t>0,5 (одноразово)</w:t>
            </w:r>
          </w:p>
        </w:tc>
      </w:tr>
      <w:tr w:rsidR="0062378F" w:rsidRPr="006932A0" w:rsidTr="00CD1F09">
        <w:tc>
          <w:tcPr>
            <w:tcW w:w="1272" w:type="dxa"/>
            <w:vMerge/>
          </w:tcPr>
          <w:p w:rsidR="0062378F" w:rsidRPr="006932A0" w:rsidRDefault="0062378F" w:rsidP="002A213C">
            <w:pPr>
              <w:widowControl w:val="0"/>
              <w:suppressAutoHyphens/>
              <w:jc w:val="both"/>
              <w:rPr>
                <w:b/>
                <w:snapToGrid w:val="0"/>
                <w:lang w:val="uk-UA" w:eastAsia="ar-SA"/>
              </w:rPr>
            </w:pPr>
          </w:p>
        </w:tc>
        <w:tc>
          <w:tcPr>
            <w:tcW w:w="6792" w:type="dxa"/>
          </w:tcPr>
          <w:p w:rsidR="0062378F" w:rsidRPr="006932A0" w:rsidRDefault="0062378F" w:rsidP="002A213C">
            <w:pPr>
              <w:jc w:val="both"/>
              <w:rPr>
                <w:b/>
                <w:bCs/>
                <w:lang w:val="uk-UA" w:eastAsia="en-US"/>
              </w:rPr>
            </w:pPr>
            <w:r w:rsidRPr="006932A0">
              <w:rPr>
                <w:b/>
                <w:bCs/>
                <w:lang w:val="uk-UA" w:eastAsia="uk-UA"/>
              </w:rPr>
              <w:t>Трематоди печінки (статевозрілі)</w:t>
            </w:r>
            <w:r w:rsidRPr="006932A0">
              <w:rPr>
                <w:b/>
                <w:bCs/>
                <w:lang w:val="uk-UA" w:eastAsia="en-US"/>
              </w:rPr>
              <w:t xml:space="preserve">: </w:t>
            </w:r>
          </w:p>
          <w:p w:rsidR="0062378F" w:rsidRPr="006932A0" w:rsidRDefault="0062378F" w:rsidP="002A213C">
            <w:pPr>
              <w:jc w:val="both"/>
              <w:rPr>
                <w:lang w:val="uk-UA" w:eastAsia="uk-UA"/>
              </w:rPr>
            </w:pPr>
            <w:r w:rsidRPr="006932A0">
              <w:rPr>
                <w:i/>
                <w:iCs/>
                <w:lang w:val="en-US" w:eastAsia="en-US"/>
              </w:rPr>
              <w:t>Fasciola</w:t>
            </w:r>
            <w:r w:rsidRPr="006932A0">
              <w:rPr>
                <w:i/>
                <w:iCs/>
                <w:lang w:val="uk-UA" w:eastAsia="en-US"/>
              </w:rPr>
              <w:t xml:space="preserve"> </w:t>
            </w:r>
            <w:r w:rsidRPr="006932A0">
              <w:rPr>
                <w:i/>
                <w:iCs/>
                <w:lang w:val="en-US" w:eastAsia="en-US"/>
              </w:rPr>
              <w:t>hepatica</w:t>
            </w:r>
            <w:r w:rsidRPr="006932A0">
              <w:rPr>
                <w:lang w:val="uk-UA" w:eastAsia="en-US"/>
              </w:rPr>
              <w:t xml:space="preserve">, </w:t>
            </w:r>
            <w:r w:rsidRPr="006932A0">
              <w:rPr>
                <w:i/>
                <w:iCs/>
                <w:lang w:val="uk-UA" w:eastAsia="uk-UA"/>
              </w:rPr>
              <w:t>Dicrocоelium lanceatum/dendriticum</w:t>
            </w:r>
          </w:p>
        </w:tc>
        <w:tc>
          <w:tcPr>
            <w:tcW w:w="2058" w:type="dxa"/>
          </w:tcPr>
          <w:p w:rsidR="0062378F" w:rsidRPr="006932A0" w:rsidRDefault="0062378F" w:rsidP="002A213C">
            <w:pPr>
              <w:widowControl w:val="0"/>
              <w:suppressAutoHyphens/>
              <w:jc w:val="both"/>
              <w:rPr>
                <w:snapToGrid w:val="0"/>
                <w:lang w:val="uk-UA" w:eastAsia="ar-SA"/>
              </w:rPr>
            </w:pPr>
            <w:r w:rsidRPr="006932A0">
              <w:rPr>
                <w:snapToGrid w:val="0"/>
                <w:lang w:val="uk-UA" w:eastAsia="ar-SA"/>
              </w:rPr>
              <w:t>1,0 (одноразово)</w:t>
            </w:r>
          </w:p>
        </w:tc>
      </w:tr>
    </w:tbl>
    <w:p w:rsidR="0062378F" w:rsidRPr="006932A0" w:rsidRDefault="0062378F" w:rsidP="002A213C">
      <w:pPr>
        <w:jc w:val="both"/>
        <w:rPr>
          <w:b/>
          <w:lang w:val="uk-UA"/>
        </w:rPr>
      </w:pPr>
    </w:p>
    <w:p w:rsidR="0062378F" w:rsidRPr="006932A0" w:rsidRDefault="0062378F" w:rsidP="002A213C">
      <w:pPr>
        <w:widowControl w:val="0"/>
        <w:ind w:firstLine="567"/>
        <w:jc w:val="both"/>
        <w:rPr>
          <w:b/>
          <w:snapToGrid w:val="0"/>
          <w:lang w:val="uk-UA"/>
        </w:rPr>
      </w:pPr>
      <w:r w:rsidRPr="006932A0">
        <w:rPr>
          <w:b/>
          <w:snapToGrid w:val="0"/>
          <w:lang w:val="uk-UA"/>
        </w:rPr>
        <w:t>5.9 Передозування (симптоми, невідкладні заходи, антидоти)</w:t>
      </w:r>
    </w:p>
    <w:p w:rsidR="0062378F" w:rsidRPr="006932A0" w:rsidRDefault="0062378F" w:rsidP="002A213C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6932A0">
        <w:rPr>
          <w:lang w:val="uk-UA"/>
        </w:rPr>
        <w:t>При застосовуванні препарату в рекомендованих дозах клінічних ознак передозування не спостерігається.</w:t>
      </w:r>
    </w:p>
    <w:p w:rsidR="0062378F" w:rsidRPr="006932A0" w:rsidRDefault="0062378F" w:rsidP="002A213C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6932A0">
        <w:rPr>
          <w:lang w:val="uk-UA"/>
        </w:rPr>
        <w:t>У продуктивних тварин симптомів передозування практично не спостерігається.</w:t>
      </w:r>
    </w:p>
    <w:p w:rsidR="0062378F" w:rsidRPr="006932A0" w:rsidRDefault="0062378F" w:rsidP="002A213C">
      <w:pPr>
        <w:autoSpaceDE w:val="0"/>
        <w:autoSpaceDN w:val="0"/>
        <w:adjustRightInd w:val="0"/>
        <w:ind w:firstLine="567"/>
        <w:jc w:val="both"/>
        <w:rPr>
          <w:b/>
          <w:snapToGrid w:val="0"/>
          <w:lang w:val="uk-UA"/>
        </w:rPr>
      </w:pPr>
      <w:r w:rsidRPr="006932A0">
        <w:rPr>
          <w:b/>
          <w:snapToGrid w:val="0"/>
          <w:lang w:val="uk-UA"/>
        </w:rPr>
        <w:t>Спеціальні застереження</w:t>
      </w:r>
    </w:p>
    <w:p w:rsidR="0062378F" w:rsidRPr="006932A0" w:rsidRDefault="0062378F" w:rsidP="002A213C">
      <w:pPr>
        <w:ind w:firstLine="567"/>
        <w:jc w:val="both"/>
        <w:rPr>
          <w:lang w:val="uk-UA"/>
        </w:rPr>
      </w:pPr>
      <w:r w:rsidRPr="006932A0">
        <w:rPr>
          <w:lang w:val="uk-UA"/>
        </w:rPr>
        <w:t>Препарат не застосовують з іншими антигельмінтними засобами.</w:t>
      </w:r>
    </w:p>
    <w:p w:rsidR="0062378F" w:rsidRPr="006932A0" w:rsidRDefault="0062378F" w:rsidP="002A213C">
      <w:pPr>
        <w:widowControl w:val="0"/>
        <w:ind w:firstLine="567"/>
        <w:jc w:val="both"/>
        <w:rPr>
          <w:b/>
          <w:snapToGrid w:val="0"/>
          <w:lang w:val="uk-UA"/>
        </w:rPr>
      </w:pPr>
      <w:r w:rsidRPr="006932A0">
        <w:rPr>
          <w:b/>
          <w:snapToGrid w:val="0"/>
          <w:lang w:val="uk-UA"/>
        </w:rPr>
        <w:t>5.11 Період виведення (каренція)</w:t>
      </w:r>
    </w:p>
    <w:p w:rsidR="0062378F" w:rsidRPr="006932A0" w:rsidRDefault="0062378F" w:rsidP="002A213C">
      <w:pPr>
        <w:ind w:firstLine="567"/>
        <w:jc w:val="both"/>
        <w:rPr>
          <w:lang w:val="uk-UA"/>
        </w:rPr>
      </w:pPr>
      <w:r w:rsidRPr="006932A0">
        <w:rPr>
          <w:lang w:val="uk-UA"/>
        </w:rPr>
        <w:t>Не застосовувати самкам у першу третину вагітності.</w:t>
      </w:r>
    </w:p>
    <w:p w:rsidR="0062378F" w:rsidRPr="006932A0" w:rsidRDefault="0062378F" w:rsidP="002A213C">
      <w:pPr>
        <w:widowControl w:val="0"/>
        <w:ind w:firstLine="567"/>
        <w:jc w:val="both"/>
        <w:rPr>
          <w:snapToGrid w:val="0"/>
          <w:lang w:val="uk-UA" w:eastAsia="en-US"/>
        </w:rPr>
      </w:pPr>
      <w:r w:rsidRPr="006932A0">
        <w:rPr>
          <w:snapToGrid w:val="0"/>
          <w:lang w:val="uk-UA" w:eastAsia="en-US"/>
        </w:rPr>
        <w:t xml:space="preserve">Забій тварин на м'ясо дозволяється через 15 діб (велика рогата худоба), 13 діб (вівці) після останнього застосування препарату. </w:t>
      </w:r>
    </w:p>
    <w:p w:rsidR="0062378F" w:rsidRPr="006932A0" w:rsidRDefault="0062378F" w:rsidP="002A213C">
      <w:pPr>
        <w:widowControl w:val="0"/>
        <w:ind w:firstLine="567"/>
        <w:jc w:val="both"/>
        <w:rPr>
          <w:snapToGrid w:val="0"/>
          <w:lang w:val="uk-UA" w:eastAsia="en-US"/>
        </w:rPr>
      </w:pPr>
      <w:r w:rsidRPr="006932A0">
        <w:rPr>
          <w:snapToGrid w:val="0"/>
          <w:lang w:val="uk-UA" w:eastAsia="en-US"/>
        </w:rPr>
        <w:t>Не застосовувати коровам протягом перших 45 днів тільності.</w:t>
      </w:r>
    </w:p>
    <w:p w:rsidR="0062378F" w:rsidRPr="006932A0" w:rsidRDefault="0062378F" w:rsidP="002A213C">
      <w:pPr>
        <w:widowControl w:val="0"/>
        <w:ind w:firstLine="567"/>
        <w:jc w:val="both"/>
        <w:rPr>
          <w:snapToGrid w:val="0"/>
          <w:lang w:val="uk-UA" w:eastAsia="en-US"/>
        </w:rPr>
      </w:pPr>
      <w:r w:rsidRPr="006932A0">
        <w:rPr>
          <w:snapToGrid w:val="0"/>
          <w:lang w:val="uk-UA" w:eastAsia="en-US"/>
        </w:rPr>
        <w:t xml:space="preserve">Не застосовувати лактуючим коровам молоко яких вживають в їжу люди. </w:t>
      </w:r>
    </w:p>
    <w:p w:rsidR="0062378F" w:rsidRPr="006932A0" w:rsidRDefault="0062378F" w:rsidP="002A213C">
      <w:pPr>
        <w:widowControl w:val="0"/>
        <w:ind w:firstLine="567"/>
        <w:jc w:val="both"/>
        <w:rPr>
          <w:snapToGrid w:val="0"/>
          <w:lang w:val="uk-UA" w:eastAsia="en-US"/>
        </w:rPr>
      </w:pPr>
      <w:r w:rsidRPr="006932A0">
        <w:rPr>
          <w:snapToGrid w:val="0"/>
          <w:lang w:val="uk-UA" w:eastAsia="en-US"/>
        </w:rPr>
        <w:t xml:space="preserve">Не застосовувати годуючим самкам овець. Не застосовувати вівцям протягом перших 30 днів вагітності або протягом 30 днів після відведення баранів. </w:t>
      </w:r>
    </w:p>
    <w:p w:rsidR="0062378F" w:rsidRPr="006932A0" w:rsidRDefault="0062378F" w:rsidP="002A213C">
      <w:pPr>
        <w:widowControl w:val="0"/>
        <w:ind w:firstLine="567"/>
        <w:jc w:val="both"/>
        <w:rPr>
          <w:snapToGrid w:val="0"/>
          <w:lang w:val="uk-UA" w:eastAsia="en-US"/>
        </w:rPr>
      </w:pPr>
      <w:r w:rsidRPr="006932A0">
        <w:rPr>
          <w:snapToGrid w:val="0"/>
          <w:lang w:val="uk-UA" w:eastAsia="en-US"/>
        </w:rPr>
        <w:t>Отримане до зазначеного терміну м’ясо та молоко утилізують або згодовують непродуктивним тваринам, залежно від висновку лікаря ветеринарної медицини.</w:t>
      </w:r>
    </w:p>
    <w:p w:rsidR="0062378F" w:rsidRPr="006932A0" w:rsidRDefault="0062378F" w:rsidP="002A213C">
      <w:pPr>
        <w:ind w:firstLine="567"/>
        <w:jc w:val="both"/>
        <w:rPr>
          <w:b/>
          <w:lang w:val="uk-UA"/>
        </w:rPr>
      </w:pPr>
      <w:r w:rsidRPr="006932A0">
        <w:rPr>
          <w:b/>
          <w:lang w:val="uk-UA"/>
        </w:rPr>
        <w:t>5.12 Спеціальні застереження для осіб і обслуговуючого персоналу</w:t>
      </w:r>
    </w:p>
    <w:p w:rsidR="0062378F" w:rsidRPr="006932A0" w:rsidRDefault="0062378F" w:rsidP="002A213C">
      <w:pPr>
        <w:ind w:firstLine="567"/>
        <w:jc w:val="lowKashida"/>
        <w:rPr>
          <w:lang w:val="uk-UA"/>
        </w:rPr>
      </w:pPr>
      <w:r w:rsidRPr="006932A0">
        <w:rPr>
          <w:lang w:val="uk-UA"/>
        </w:rPr>
        <w:t>Необхідно дотримуватись правил роботи з ветеринарними препаратами.</w:t>
      </w:r>
    </w:p>
    <w:p w:rsidR="0062378F" w:rsidRPr="006932A0" w:rsidRDefault="0062378F" w:rsidP="002A213C">
      <w:pPr>
        <w:widowControl w:val="0"/>
        <w:ind w:firstLine="567"/>
        <w:jc w:val="both"/>
        <w:rPr>
          <w:b/>
          <w:snapToGrid w:val="0"/>
          <w:lang w:val="uk-UA"/>
        </w:rPr>
      </w:pPr>
    </w:p>
    <w:p w:rsidR="0062378F" w:rsidRPr="006932A0" w:rsidRDefault="0062378F" w:rsidP="002A213C">
      <w:pPr>
        <w:widowControl w:val="0"/>
        <w:ind w:firstLine="567"/>
        <w:jc w:val="both"/>
        <w:rPr>
          <w:b/>
          <w:snapToGrid w:val="0"/>
          <w:lang w:val="uk-UA"/>
        </w:rPr>
      </w:pPr>
    </w:p>
    <w:p w:rsidR="0062378F" w:rsidRPr="006932A0" w:rsidRDefault="0062378F" w:rsidP="002A213C">
      <w:pPr>
        <w:jc w:val="right"/>
        <w:rPr>
          <w:lang w:val="uk-UA"/>
        </w:rPr>
      </w:pPr>
      <w:r w:rsidRPr="006932A0">
        <w:rPr>
          <w:lang w:val="uk-UA"/>
        </w:rPr>
        <w:t>Продовження Додатку 1</w:t>
      </w:r>
    </w:p>
    <w:p w:rsidR="0062378F" w:rsidRPr="006932A0" w:rsidRDefault="0062378F" w:rsidP="002A213C">
      <w:pPr>
        <w:jc w:val="right"/>
        <w:rPr>
          <w:lang w:val="uk-UA"/>
        </w:rPr>
      </w:pPr>
      <w:r w:rsidRPr="006932A0">
        <w:rPr>
          <w:lang w:val="uk-UA"/>
        </w:rPr>
        <w:t>до реєстраційного посвідчення АВ-03350-01-12</w:t>
      </w:r>
    </w:p>
    <w:p w:rsidR="0062378F" w:rsidRPr="006932A0" w:rsidRDefault="0062378F" w:rsidP="002A213C">
      <w:pPr>
        <w:widowControl w:val="0"/>
        <w:jc w:val="both"/>
        <w:rPr>
          <w:b/>
          <w:snapToGrid w:val="0"/>
          <w:lang w:val="uk-UA"/>
        </w:rPr>
      </w:pPr>
    </w:p>
    <w:p w:rsidR="0062378F" w:rsidRPr="006932A0" w:rsidRDefault="0062378F" w:rsidP="002A213C">
      <w:pPr>
        <w:widowControl w:val="0"/>
        <w:ind w:firstLine="567"/>
        <w:jc w:val="both"/>
        <w:rPr>
          <w:b/>
          <w:snapToGrid w:val="0"/>
          <w:lang w:val="uk-UA"/>
        </w:rPr>
      </w:pPr>
      <w:r w:rsidRPr="006932A0">
        <w:rPr>
          <w:b/>
          <w:snapToGrid w:val="0"/>
          <w:lang w:val="uk-UA"/>
        </w:rPr>
        <w:t>6. Фармацевтичні особливості</w:t>
      </w:r>
    </w:p>
    <w:p w:rsidR="0062378F" w:rsidRPr="006932A0" w:rsidRDefault="0062378F" w:rsidP="002A213C">
      <w:pPr>
        <w:pStyle w:val="BodyTextIndent3"/>
        <w:ind w:firstLine="567"/>
        <w:rPr>
          <w:szCs w:val="24"/>
        </w:rPr>
      </w:pPr>
      <w:r w:rsidRPr="006932A0">
        <w:rPr>
          <w:szCs w:val="24"/>
        </w:rPr>
        <w:t>6.1 Форми несумісності (основні)</w:t>
      </w:r>
    </w:p>
    <w:p w:rsidR="0062378F" w:rsidRPr="006932A0" w:rsidRDefault="0062378F" w:rsidP="002A213C">
      <w:pPr>
        <w:ind w:firstLine="567"/>
        <w:jc w:val="lowKashida"/>
        <w:rPr>
          <w:snapToGrid w:val="0"/>
          <w:lang w:val="uk-UA"/>
        </w:rPr>
      </w:pPr>
      <w:r w:rsidRPr="006932A0">
        <w:rPr>
          <w:snapToGrid w:val="0"/>
          <w:lang w:val="uk-UA"/>
        </w:rPr>
        <w:t>Не встановлені.</w:t>
      </w:r>
    </w:p>
    <w:p w:rsidR="0062378F" w:rsidRPr="006932A0" w:rsidRDefault="0062378F" w:rsidP="002A213C">
      <w:pPr>
        <w:pStyle w:val="BodyTextIndent3"/>
        <w:ind w:firstLine="567"/>
      </w:pPr>
      <w:r w:rsidRPr="006932A0">
        <w:t>6.2 Термін придатності</w:t>
      </w:r>
    </w:p>
    <w:p w:rsidR="0062378F" w:rsidRPr="006932A0" w:rsidRDefault="0062378F" w:rsidP="002A213C">
      <w:pPr>
        <w:widowControl w:val="0"/>
        <w:ind w:firstLine="567"/>
        <w:jc w:val="both"/>
        <w:rPr>
          <w:lang w:val="uk-UA"/>
        </w:rPr>
      </w:pPr>
      <w:r w:rsidRPr="006932A0">
        <w:rPr>
          <w:lang w:val="uk-UA"/>
        </w:rPr>
        <w:t>Один рік.</w:t>
      </w:r>
    </w:p>
    <w:p w:rsidR="0062378F" w:rsidRPr="006932A0" w:rsidRDefault="0062378F" w:rsidP="002A213C">
      <w:pPr>
        <w:widowControl w:val="0"/>
        <w:ind w:firstLine="567"/>
        <w:jc w:val="both"/>
        <w:rPr>
          <w:b/>
          <w:snapToGrid w:val="0"/>
          <w:lang w:val="uk-UA"/>
        </w:rPr>
      </w:pPr>
      <w:r w:rsidRPr="006932A0">
        <w:rPr>
          <w:b/>
          <w:snapToGrid w:val="0"/>
          <w:lang w:val="uk-UA"/>
        </w:rPr>
        <w:t>6.3 Особливі заходи зберігання</w:t>
      </w:r>
    </w:p>
    <w:p w:rsidR="0062378F" w:rsidRPr="006932A0" w:rsidRDefault="0062378F" w:rsidP="002A213C">
      <w:pPr>
        <w:widowControl w:val="0"/>
        <w:ind w:firstLine="567"/>
        <w:jc w:val="both"/>
        <w:rPr>
          <w:lang w:val="uk-UA"/>
        </w:rPr>
      </w:pPr>
      <w:r w:rsidRPr="006932A0">
        <w:rPr>
          <w:lang w:val="uk-UA"/>
        </w:rPr>
        <w:t xml:space="preserve">В оригінальному пакуванні, у сухому, захищеному від світла місці за температури від 5 до 15 </w:t>
      </w:r>
      <w:r w:rsidRPr="006932A0">
        <w:rPr>
          <w:lang w:val="uk-UA"/>
        </w:rPr>
        <w:sym w:font="Symbol" w:char="F0B0"/>
      </w:r>
      <w:r w:rsidRPr="006932A0">
        <w:rPr>
          <w:lang w:val="uk-UA"/>
        </w:rPr>
        <w:t>С.</w:t>
      </w:r>
    </w:p>
    <w:p w:rsidR="0062378F" w:rsidRPr="006932A0" w:rsidRDefault="0062378F" w:rsidP="002A213C">
      <w:pPr>
        <w:widowControl w:val="0"/>
        <w:ind w:firstLine="567"/>
        <w:jc w:val="both"/>
        <w:rPr>
          <w:b/>
          <w:snapToGrid w:val="0"/>
          <w:lang w:val="uk-UA"/>
        </w:rPr>
      </w:pPr>
      <w:r w:rsidRPr="006932A0">
        <w:rPr>
          <w:b/>
          <w:snapToGrid w:val="0"/>
          <w:lang w:val="uk-UA"/>
        </w:rPr>
        <w:t>6.4 Природа і склад контейнера первинного пакування</w:t>
      </w:r>
    </w:p>
    <w:p w:rsidR="0062378F" w:rsidRPr="006932A0" w:rsidRDefault="0062378F" w:rsidP="002A213C">
      <w:pPr>
        <w:widowControl w:val="0"/>
        <w:ind w:firstLine="567"/>
        <w:jc w:val="both"/>
        <w:rPr>
          <w:lang w:val="uk-UA"/>
        </w:rPr>
      </w:pPr>
      <w:r w:rsidRPr="006932A0">
        <w:rPr>
          <w:snapToGrid w:val="0"/>
          <w:lang w:val="uk-UA"/>
        </w:rPr>
        <w:t>Ф</w:t>
      </w:r>
      <w:r w:rsidRPr="006932A0">
        <w:rPr>
          <w:lang w:val="uk-UA"/>
        </w:rPr>
        <w:t>лакони із скла, що закриті гумовими корками під алюмінієву обкатку, або флакони полімерні  по 50, 100 та 1000 мл.</w:t>
      </w:r>
    </w:p>
    <w:p w:rsidR="0062378F" w:rsidRPr="006932A0" w:rsidRDefault="0062378F" w:rsidP="002A213C">
      <w:pPr>
        <w:pStyle w:val="BodyTextIndent3"/>
        <w:ind w:firstLine="567"/>
      </w:pPr>
      <w:r w:rsidRPr="006932A0">
        <w:rPr>
          <w:szCs w:val="24"/>
        </w:rPr>
        <w:t>6.5 Особливі заходи безпеки при поводженні з невикористаним препаратом або із</w:t>
      </w:r>
      <w:r w:rsidRPr="006932A0">
        <w:t xml:space="preserve"> його залишками</w:t>
      </w:r>
    </w:p>
    <w:p w:rsidR="0062378F" w:rsidRPr="006932A0" w:rsidRDefault="0062378F" w:rsidP="002A213C">
      <w:pPr>
        <w:pStyle w:val="BodyTextIndent3"/>
        <w:ind w:firstLine="567"/>
        <w:rPr>
          <w:b w:val="0"/>
        </w:rPr>
      </w:pPr>
      <w:r w:rsidRPr="006932A0">
        <w:rPr>
          <w:b w:val="0"/>
        </w:rPr>
        <w:t>Невикористаний препарат або його залишки мають бути утилізовані відповідно до чинних національних вимог.</w:t>
      </w:r>
    </w:p>
    <w:p w:rsidR="0062378F" w:rsidRPr="00DA0964" w:rsidRDefault="0062378F" w:rsidP="002A213C">
      <w:pPr>
        <w:pStyle w:val="BodyTextIndent3"/>
        <w:ind w:firstLine="567"/>
        <w:rPr>
          <w:szCs w:val="24"/>
        </w:rPr>
      </w:pPr>
      <w:r w:rsidRPr="00DA0964">
        <w:rPr>
          <w:szCs w:val="24"/>
        </w:rPr>
        <w:t>7. Назва і місце знаходження власника реєстраційного посвідчення</w:t>
      </w:r>
    </w:p>
    <w:p w:rsidR="0062378F" w:rsidRPr="00DA0964" w:rsidRDefault="0062378F" w:rsidP="002A213C">
      <w:pPr>
        <w:tabs>
          <w:tab w:val="left" w:pos="2908"/>
        </w:tabs>
        <w:snapToGrid w:val="0"/>
      </w:pPr>
      <w:r w:rsidRPr="00DA0964">
        <w:rPr>
          <w:lang w:val="uk-UA"/>
        </w:rPr>
        <w:t xml:space="preserve">ТОВ ВФ </w:t>
      </w:r>
      <w:r w:rsidRPr="00DA0964">
        <w:t>“</w:t>
      </w:r>
      <w:r w:rsidRPr="00DA0964">
        <w:rPr>
          <w:lang w:val="uk-UA"/>
        </w:rPr>
        <w:t>Базальт</w:t>
      </w:r>
      <w:r w:rsidRPr="00DA0964">
        <w:t>”</w:t>
      </w:r>
    </w:p>
    <w:p w:rsidR="0062378F" w:rsidRPr="00DA0964" w:rsidRDefault="0062378F" w:rsidP="0038051C">
      <w:pPr>
        <w:tabs>
          <w:tab w:val="left" w:pos="2908"/>
        </w:tabs>
        <w:snapToGrid w:val="0"/>
        <w:rPr>
          <w:lang w:val="uk-UA"/>
        </w:rPr>
      </w:pPr>
      <w:r w:rsidRPr="00DA0964">
        <w:rPr>
          <w:lang w:val="uk-UA"/>
        </w:rPr>
        <w:t>07431, Київська обл., Броварський р-н., с. Бобрик, вул. Шевченка, буд 74</w:t>
      </w:r>
    </w:p>
    <w:p w:rsidR="0062378F" w:rsidRPr="00DA0964" w:rsidRDefault="0062378F" w:rsidP="0038051C">
      <w:pPr>
        <w:tabs>
          <w:tab w:val="left" w:pos="2908"/>
        </w:tabs>
        <w:snapToGrid w:val="0"/>
        <w:rPr>
          <w:lang w:val="uk-UA"/>
        </w:rPr>
      </w:pPr>
      <w:r w:rsidRPr="00DA0964">
        <w:rPr>
          <w:lang w:val="uk-UA"/>
        </w:rPr>
        <w:t xml:space="preserve">Україна </w:t>
      </w:r>
    </w:p>
    <w:p w:rsidR="0062378F" w:rsidRPr="00DA0964" w:rsidRDefault="0062378F" w:rsidP="002A213C">
      <w:pPr>
        <w:tabs>
          <w:tab w:val="left" w:pos="2908"/>
        </w:tabs>
        <w:snapToGrid w:val="0"/>
        <w:rPr>
          <w:lang w:val="uk-UA"/>
        </w:rPr>
      </w:pPr>
      <w:r w:rsidRPr="00DA0964">
        <w:rPr>
          <w:lang w:val="uk-UA"/>
        </w:rPr>
        <w:t xml:space="preserve">тел.  </w:t>
      </w:r>
      <w:r w:rsidRPr="00DA0964">
        <w:rPr>
          <w:rFonts w:ascii="Helvetica" w:hAnsi="Helvetica"/>
          <w:sz w:val="23"/>
          <w:szCs w:val="23"/>
          <w:shd w:val="clear" w:color="auto" w:fill="F9FAFB"/>
        </w:rPr>
        <w:t>+380954900342</w:t>
      </w:r>
    </w:p>
    <w:p w:rsidR="0062378F" w:rsidRPr="00DA0964" w:rsidRDefault="0062378F" w:rsidP="002A213C">
      <w:pPr>
        <w:widowControl w:val="0"/>
        <w:ind w:firstLine="567"/>
        <w:jc w:val="both"/>
        <w:rPr>
          <w:b/>
          <w:lang w:val="uk-UA"/>
        </w:rPr>
      </w:pPr>
      <w:r w:rsidRPr="00DA0964">
        <w:rPr>
          <w:b/>
          <w:snapToGrid w:val="0"/>
          <w:lang w:val="uk-UA"/>
        </w:rPr>
        <w:t xml:space="preserve">8. </w:t>
      </w:r>
      <w:r w:rsidRPr="00DA0964">
        <w:rPr>
          <w:b/>
          <w:lang w:val="uk-UA"/>
        </w:rPr>
        <w:t>Назва і місце знаходження виробників</w:t>
      </w:r>
    </w:p>
    <w:p w:rsidR="0062378F" w:rsidRPr="00DA0964" w:rsidRDefault="0062378F" w:rsidP="002A213C">
      <w:pPr>
        <w:tabs>
          <w:tab w:val="left" w:pos="2908"/>
        </w:tabs>
        <w:snapToGrid w:val="0"/>
      </w:pPr>
      <w:r w:rsidRPr="00DA0964">
        <w:rPr>
          <w:lang w:val="uk-UA"/>
        </w:rPr>
        <w:t xml:space="preserve">ТОВ ВФ </w:t>
      </w:r>
      <w:r w:rsidRPr="00DA0964">
        <w:t>“</w:t>
      </w:r>
      <w:r w:rsidRPr="00DA0964">
        <w:rPr>
          <w:lang w:val="uk-UA"/>
        </w:rPr>
        <w:t>Базальт</w:t>
      </w:r>
      <w:r w:rsidRPr="00DA0964">
        <w:t>”</w:t>
      </w:r>
    </w:p>
    <w:p w:rsidR="0062378F" w:rsidRPr="00DA0964" w:rsidRDefault="0062378F" w:rsidP="002A213C">
      <w:pPr>
        <w:tabs>
          <w:tab w:val="left" w:pos="2908"/>
        </w:tabs>
        <w:snapToGrid w:val="0"/>
        <w:rPr>
          <w:lang w:val="uk-UA"/>
        </w:rPr>
      </w:pPr>
      <w:r w:rsidRPr="00DA0964">
        <w:rPr>
          <w:lang w:val="uk-UA"/>
        </w:rPr>
        <w:t>07431,Київська обл., Броварський р-н., с. Бобрик, вул. Шевченка, буд 74</w:t>
      </w:r>
    </w:p>
    <w:p w:rsidR="0062378F" w:rsidRPr="00DA0964" w:rsidRDefault="0062378F" w:rsidP="002A213C">
      <w:pPr>
        <w:tabs>
          <w:tab w:val="left" w:pos="2908"/>
        </w:tabs>
        <w:snapToGrid w:val="0"/>
        <w:rPr>
          <w:lang w:val="uk-UA"/>
        </w:rPr>
      </w:pPr>
      <w:r w:rsidRPr="00DA0964">
        <w:rPr>
          <w:lang w:val="uk-UA"/>
        </w:rPr>
        <w:t xml:space="preserve">Україна </w:t>
      </w:r>
    </w:p>
    <w:p w:rsidR="0062378F" w:rsidRPr="00DA0964" w:rsidRDefault="0062378F" w:rsidP="002A213C">
      <w:pPr>
        <w:tabs>
          <w:tab w:val="left" w:pos="2908"/>
        </w:tabs>
        <w:snapToGrid w:val="0"/>
        <w:rPr>
          <w:rFonts w:ascii="Helvetica" w:hAnsi="Helvetica"/>
          <w:sz w:val="23"/>
          <w:szCs w:val="23"/>
          <w:shd w:val="clear" w:color="auto" w:fill="F9FAFB"/>
          <w:lang w:val="uk-UA"/>
        </w:rPr>
      </w:pPr>
      <w:r w:rsidRPr="00DA0964">
        <w:rPr>
          <w:lang w:val="uk-UA"/>
        </w:rPr>
        <w:t xml:space="preserve">тел.  </w:t>
      </w:r>
      <w:r w:rsidRPr="00DA0964">
        <w:rPr>
          <w:rFonts w:ascii="Helvetica" w:hAnsi="Helvetica"/>
          <w:sz w:val="23"/>
          <w:szCs w:val="23"/>
          <w:shd w:val="clear" w:color="auto" w:fill="F9FAFB"/>
        </w:rPr>
        <w:t>+380954900342</w:t>
      </w:r>
    </w:p>
    <w:p w:rsidR="0062378F" w:rsidRPr="006932A0" w:rsidRDefault="0062378F" w:rsidP="002A213C">
      <w:pPr>
        <w:widowControl w:val="0"/>
        <w:ind w:firstLine="567"/>
        <w:jc w:val="both"/>
        <w:rPr>
          <w:b/>
          <w:lang w:val="uk-UA"/>
        </w:rPr>
      </w:pPr>
      <w:r w:rsidRPr="00DA0964">
        <w:rPr>
          <w:b/>
          <w:lang w:val="uk-UA"/>
        </w:rPr>
        <w:t>9. Додаткова інформація</w:t>
      </w:r>
    </w:p>
    <w:p w:rsidR="0062378F" w:rsidRPr="006932A0" w:rsidRDefault="0062378F" w:rsidP="002A213C">
      <w:pPr>
        <w:ind w:firstLine="567"/>
        <w:jc w:val="both"/>
        <w:rPr>
          <w:lang w:val="uk-UA"/>
        </w:rPr>
      </w:pPr>
    </w:p>
    <w:sectPr w:rsidR="0062378F" w:rsidRPr="006932A0" w:rsidSect="002A213C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CBB"/>
    <w:multiLevelType w:val="hybridMultilevel"/>
    <w:tmpl w:val="0D18A0B8"/>
    <w:lvl w:ilvl="0" w:tplc="DF1249E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6A476C71"/>
    <w:multiLevelType w:val="hybridMultilevel"/>
    <w:tmpl w:val="6C5EDC12"/>
    <w:lvl w:ilvl="0" w:tplc="F7E468D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CB8"/>
    <w:rsid w:val="000023F3"/>
    <w:rsid w:val="002A0678"/>
    <w:rsid w:val="002A213C"/>
    <w:rsid w:val="002E1A42"/>
    <w:rsid w:val="00303880"/>
    <w:rsid w:val="00333CB8"/>
    <w:rsid w:val="0038051C"/>
    <w:rsid w:val="00453215"/>
    <w:rsid w:val="0062378F"/>
    <w:rsid w:val="006932A0"/>
    <w:rsid w:val="006E3C78"/>
    <w:rsid w:val="00992F1B"/>
    <w:rsid w:val="009C0DB6"/>
    <w:rsid w:val="00B87372"/>
    <w:rsid w:val="00CD1F09"/>
    <w:rsid w:val="00DA0964"/>
    <w:rsid w:val="00E15E72"/>
    <w:rsid w:val="00FC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locked="1" w:semiHidden="0" w:uiPriority="0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A213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3CB8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3CB8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33CB8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33CB8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3CB8"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33CB8"/>
    <w:pPr>
      <w:keepNext/>
      <w:keepLines/>
      <w:spacing w:before="4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33CB8"/>
    <w:pPr>
      <w:keepNext/>
      <w:keepLines/>
      <w:spacing w:before="40"/>
      <w:outlineLvl w:val="6"/>
    </w:pPr>
    <w:rPr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33CB8"/>
    <w:pPr>
      <w:keepNext/>
      <w:keepLines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33CB8"/>
    <w:pPr>
      <w:keepNext/>
      <w:keepLines/>
      <w:outlineLvl w:val="8"/>
    </w:pPr>
    <w:rPr>
      <w:color w:val="2727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3CB8"/>
    <w:rPr>
      <w:rFonts w:ascii="Aptos Display" w:hAnsi="Aptos Display"/>
      <w:color w:val="0F4761"/>
      <w:sz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33CB8"/>
    <w:rPr>
      <w:rFonts w:ascii="Aptos Display" w:hAnsi="Aptos Display"/>
      <w:color w:val="0F4761"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33CB8"/>
    <w:rPr>
      <w:rFonts w:eastAsia="Times New Roman"/>
      <w:color w:val="0F4761"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33CB8"/>
    <w:rPr>
      <w:rFonts w:eastAsia="Times New Roman"/>
      <w:i/>
      <w:color w:val="0F4761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33CB8"/>
    <w:rPr>
      <w:rFonts w:eastAsia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33CB8"/>
    <w:rPr>
      <w:rFonts w:eastAsia="Times New Roman"/>
      <w:i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33CB8"/>
    <w:rPr>
      <w:rFonts w:eastAsia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33CB8"/>
    <w:rPr>
      <w:rFonts w:eastAsia="Times New Roman"/>
      <w:i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33CB8"/>
    <w:rPr>
      <w:rFonts w:eastAsia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333CB8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33CB8"/>
    <w:rPr>
      <w:rFonts w:ascii="Aptos Display" w:hAnsi="Aptos Display"/>
      <w:spacing w:val="-10"/>
      <w:kern w:val="28"/>
      <w:sz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333CB8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33CB8"/>
    <w:rPr>
      <w:rFonts w:eastAsia="Times New Roman"/>
      <w:color w:val="595959"/>
      <w:spacing w:val="15"/>
      <w:sz w:val="28"/>
    </w:rPr>
  </w:style>
  <w:style w:type="paragraph" w:styleId="Quote">
    <w:name w:val="Quote"/>
    <w:basedOn w:val="Normal"/>
    <w:next w:val="Normal"/>
    <w:link w:val="QuoteChar"/>
    <w:uiPriority w:val="99"/>
    <w:qFormat/>
    <w:rsid w:val="00333CB8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333CB8"/>
    <w:rPr>
      <w:i/>
      <w:color w:val="404040"/>
    </w:rPr>
  </w:style>
  <w:style w:type="paragraph" w:styleId="ListParagraph">
    <w:name w:val="List Paragraph"/>
    <w:basedOn w:val="Normal"/>
    <w:uiPriority w:val="99"/>
    <w:qFormat/>
    <w:rsid w:val="00333CB8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333CB8"/>
    <w:rPr>
      <w:i/>
      <w:color w:val="0F4761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33CB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33CB8"/>
    <w:rPr>
      <w:i/>
      <w:color w:val="0F4761"/>
    </w:rPr>
  </w:style>
  <w:style w:type="character" w:styleId="IntenseReference">
    <w:name w:val="Intense Reference"/>
    <w:basedOn w:val="DefaultParagraphFont"/>
    <w:uiPriority w:val="99"/>
    <w:qFormat/>
    <w:rsid w:val="00333CB8"/>
    <w:rPr>
      <w:b/>
      <w:smallCaps/>
      <w:color w:val="0F4761"/>
      <w:spacing w:val="5"/>
    </w:rPr>
  </w:style>
  <w:style w:type="paragraph" w:styleId="BodyTextIndent3">
    <w:name w:val="Body Text Indent 3"/>
    <w:basedOn w:val="Normal"/>
    <w:link w:val="BodyTextIndent3Char"/>
    <w:uiPriority w:val="99"/>
    <w:rsid w:val="002A213C"/>
    <w:pPr>
      <w:widowControl w:val="0"/>
      <w:ind w:firstLine="720"/>
      <w:jc w:val="both"/>
    </w:pPr>
    <w:rPr>
      <w:b/>
      <w:szCs w:val="20"/>
      <w:lang w:val="uk-UA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A213C"/>
    <w:rPr>
      <w:rFonts w:ascii="Times New Roman" w:hAnsi="Times New Roman"/>
      <w:b/>
      <w:kern w:val="0"/>
      <w:sz w:val="20"/>
    </w:rPr>
  </w:style>
  <w:style w:type="paragraph" w:styleId="BodyTextIndent">
    <w:name w:val="Body Text Indent"/>
    <w:basedOn w:val="Normal"/>
    <w:link w:val="BodyTextIndentChar"/>
    <w:uiPriority w:val="99"/>
    <w:rsid w:val="002A213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A213C"/>
    <w:rPr>
      <w:rFonts w:ascii="Times New Roman" w:hAnsi="Times New Roman"/>
      <w:kern w:val="0"/>
      <w:sz w:val="24"/>
      <w:lang w:val="ru-RU" w:eastAsia="ru-RU"/>
    </w:rPr>
  </w:style>
  <w:style w:type="paragraph" w:customStyle="1" w:styleId="Normal1">
    <w:name w:val="Normal1"/>
    <w:uiPriority w:val="99"/>
    <w:rsid w:val="002A213C"/>
    <w:pPr>
      <w:suppressAutoHyphens/>
    </w:pPr>
    <w:rPr>
      <w:rFonts w:ascii="Arial" w:hAnsi="Arial"/>
      <w:sz w:val="20"/>
      <w:szCs w:val="20"/>
      <w:lang w:val="ru-RU" w:eastAsia="ar-SA"/>
    </w:rPr>
  </w:style>
  <w:style w:type="character" w:customStyle="1" w:styleId="a">
    <w:name w:val="Печатная машинка"/>
    <w:uiPriority w:val="99"/>
    <w:rsid w:val="002A213C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3</Pages>
  <Words>3989</Words>
  <Characters>2275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Yuskiv</dc:creator>
  <cp:keywords/>
  <dc:description/>
  <cp:lastModifiedBy>Vezdenko</cp:lastModifiedBy>
  <cp:revision>8</cp:revision>
  <dcterms:created xsi:type="dcterms:W3CDTF">2025-01-15T10:12:00Z</dcterms:created>
  <dcterms:modified xsi:type="dcterms:W3CDTF">2025-02-12T15:20:00Z</dcterms:modified>
</cp:coreProperties>
</file>