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2892" w14:textId="568BD7D3" w:rsidR="007A6496" w:rsidRPr="00950B90" w:rsidRDefault="00DD4FCB">
      <w:pPr>
        <w:pStyle w:val="Default"/>
        <w:pageBreakBefore/>
        <w:jc w:val="right"/>
        <w:rPr>
          <w:rFonts w:ascii="Times New Roman" w:eastAsia="Times New Roman" w:hAnsi="Times New Roman" w:cs="Times New Roman"/>
          <w:color w:val="auto"/>
          <w:lang w:val="uk-UA"/>
        </w:rPr>
      </w:pPr>
      <w:bookmarkStart w:id="0" w:name="_GoBack"/>
      <w:r w:rsidRPr="00950B90">
        <w:rPr>
          <w:rFonts w:ascii="Times New Roman" w:eastAsia="Times New Roman" w:hAnsi="Times New Roman" w:cs="Times New Roman"/>
          <w:color w:val="auto"/>
          <w:lang w:val="uk-UA"/>
        </w:rPr>
        <w:t>Додаток 1</w:t>
      </w:r>
    </w:p>
    <w:p w14:paraId="227F5D7B" w14:textId="77777777" w:rsidR="007A6496" w:rsidRPr="00950B90" w:rsidRDefault="00DD4FC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950B90">
        <w:rPr>
          <w:rFonts w:ascii="Times New Roman" w:hAnsi="Times New Roman" w:cs="Times New Roman"/>
          <w:color w:val="auto"/>
        </w:rPr>
        <w:t>до реєстраційного посвідчення</w:t>
      </w:r>
    </w:p>
    <w:p w14:paraId="7D592720" w14:textId="77777777" w:rsidR="00AA1349" w:rsidRPr="00950B90" w:rsidRDefault="00AA1349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</w:p>
    <w:p w14:paraId="16A9C377" w14:textId="77777777" w:rsidR="007A6496" w:rsidRPr="00950B90" w:rsidRDefault="00DD4FCB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950B90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Коротка характеристика препарату</w:t>
      </w:r>
    </w:p>
    <w:p w14:paraId="08D67130" w14:textId="77777777" w:rsidR="00AA1349" w:rsidRPr="00950B90" w:rsidRDefault="00AA1349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</w:p>
    <w:p w14:paraId="09BC5DC3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 xml:space="preserve">1. Назва  </w:t>
      </w:r>
    </w:p>
    <w:p w14:paraId="1A65B7CA" w14:textId="3E49F970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eastAsia="Times New Roman" w:hAnsi="Times New Roman" w:cs="Times New Roman"/>
          <w:color w:val="auto"/>
        </w:rPr>
        <w:tab/>
      </w:r>
      <w:r w:rsidRPr="00950B90">
        <w:rPr>
          <w:rFonts w:ascii="Times New Roman" w:eastAsia="Times New Roman" w:hAnsi="Times New Roman" w:cs="Times New Roman"/>
          <w:color w:val="auto"/>
          <w:lang w:val="uk-UA"/>
        </w:rPr>
        <w:t>Бовімаст ЛЦ</w:t>
      </w:r>
    </w:p>
    <w:p w14:paraId="4B4891D4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 xml:space="preserve">2.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С</w:t>
      </w:r>
      <w:r w:rsidRPr="00950B90">
        <w:rPr>
          <w:rFonts w:ascii="Times New Roman" w:hAnsi="Times New Roman" w:cs="Times New Roman"/>
          <w:b/>
          <w:color w:val="auto"/>
        </w:rPr>
        <w:t>клад</w:t>
      </w:r>
    </w:p>
    <w:p w14:paraId="4FF09780" w14:textId="77777777" w:rsidR="00CD25E1" w:rsidRPr="00950B90" w:rsidRDefault="00DD4FCB" w:rsidP="00CD25E1">
      <w:pPr>
        <w:pStyle w:val="Default"/>
        <w:rPr>
          <w:rFonts w:ascii="Times New Roman" w:eastAsia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r w:rsidR="00CD25E1" w:rsidRPr="00950B90">
        <w:rPr>
          <w:rFonts w:ascii="Times New Roman" w:eastAsia="Times New Roman" w:hAnsi="Times New Roman" w:cs="Times New Roman"/>
          <w:color w:val="auto"/>
          <w:lang w:val="uk-UA"/>
        </w:rPr>
        <w:t>1 шприц-туба (3 г) містить діючі речовини (мг):</w:t>
      </w:r>
      <w:r w:rsidR="00CD25E1" w:rsidRPr="00950B90">
        <w:rPr>
          <w:rFonts w:ascii="Times New Roman" w:eastAsia="Times New Roman" w:hAnsi="Times New Roman" w:cs="Times New Roman"/>
          <w:color w:val="auto"/>
          <w:lang w:val="uk-UA"/>
        </w:rPr>
        <w:br/>
      </w:r>
      <w:r w:rsidR="00CD25E1" w:rsidRPr="00950B90">
        <w:rPr>
          <w:rFonts w:ascii="Times New Roman" w:eastAsia="Times New Roman" w:hAnsi="Times New Roman" w:cs="Times New Roman"/>
          <w:color w:val="auto"/>
          <w:lang w:val="uk-UA"/>
        </w:rPr>
        <w:tab/>
        <w:t xml:space="preserve">амоксицилін (як амоксициліну тригідрат) – 200,0; </w:t>
      </w:r>
    </w:p>
    <w:p w14:paraId="5BF0ECB4" w14:textId="77777777" w:rsidR="00CD25E1" w:rsidRPr="00950B90" w:rsidRDefault="00CD25E1" w:rsidP="00CD25E1">
      <w:pPr>
        <w:pStyle w:val="Default"/>
        <w:rPr>
          <w:rFonts w:ascii="Times New Roman" w:eastAsia="Times New Roman" w:hAnsi="Times New Roman" w:cs="Times New Roman"/>
          <w:color w:val="auto"/>
          <w:lang w:val="uk-UA"/>
        </w:rPr>
      </w:pPr>
      <w:r w:rsidRPr="00950B90">
        <w:rPr>
          <w:rFonts w:ascii="Times New Roman" w:eastAsia="Times New Roman" w:hAnsi="Times New Roman" w:cs="Times New Roman"/>
          <w:color w:val="auto"/>
          <w:lang w:val="uk-UA"/>
        </w:rPr>
        <w:t xml:space="preserve">            кислоту клавуланову (як натрію клавуланат) – 50,0; </w:t>
      </w:r>
    </w:p>
    <w:p w14:paraId="3A0F5CDD" w14:textId="44B5A21D" w:rsidR="007A6496" w:rsidRPr="00950B90" w:rsidRDefault="00CD25E1" w:rsidP="00CD25E1">
      <w:pPr>
        <w:pStyle w:val="Default"/>
        <w:rPr>
          <w:color w:val="auto"/>
          <w:lang w:val="uk-UA"/>
        </w:rPr>
      </w:pPr>
      <w:r w:rsidRPr="00950B90">
        <w:rPr>
          <w:rFonts w:ascii="Times New Roman" w:eastAsia="Times New Roman" w:hAnsi="Times New Roman" w:cs="Times New Roman"/>
          <w:color w:val="auto"/>
          <w:lang w:val="uk-UA"/>
        </w:rPr>
        <w:t xml:space="preserve">            преднізолон                                                      – 10,0</w:t>
      </w:r>
      <w:r w:rsidR="00AA1349" w:rsidRPr="00950B90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14:paraId="7A6A64DF" w14:textId="282927C3" w:rsidR="007A6496" w:rsidRPr="00950B90" w:rsidRDefault="00DD4FCB" w:rsidP="00DB46E0">
      <w:pPr>
        <w:pStyle w:val="Default"/>
        <w:rPr>
          <w:rFonts w:ascii="Times New Roman" w:eastAsia="Times New Roman" w:hAnsi="Times New Roman" w:cs="Times New Roman"/>
          <w:color w:val="auto"/>
          <w:lang w:val="uk-UA"/>
        </w:rPr>
      </w:pPr>
      <w:r w:rsidRPr="00950B90">
        <w:rPr>
          <w:rFonts w:ascii="Times New Roman" w:eastAsia="Times New Roman" w:hAnsi="Times New Roman" w:cs="Times New Roman"/>
          <w:color w:val="auto"/>
          <w:lang w:val="uk-UA"/>
        </w:rPr>
        <w:t>Допоміжні речовини:</w:t>
      </w:r>
      <w:r w:rsidR="00DB46E0" w:rsidRPr="00950B90">
        <w:rPr>
          <w:color w:val="auto"/>
          <w:lang w:val="uk-UA"/>
        </w:rPr>
        <w:t xml:space="preserve"> </w:t>
      </w:r>
      <w:r w:rsidR="00DB46E0" w:rsidRPr="00950B90">
        <w:rPr>
          <w:rFonts w:ascii="Times New Roman" w:eastAsia="Times New Roman" w:hAnsi="Times New Roman" w:cs="Times New Roman"/>
          <w:color w:val="auto"/>
          <w:lang w:val="uk-UA"/>
        </w:rPr>
        <w:t>алюмосилікат кальцію натрію, емульгуючи віск, м'який парафін, рідкий парафін.</w:t>
      </w:r>
      <w:r w:rsidRPr="00950B90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</w:p>
    <w:p w14:paraId="5EACB001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</w:r>
      <w:r w:rsidRPr="00950B90">
        <w:rPr>
          <w:rFonts w:ascii="Times New Roman" w:hAnsi="Times New Roman" w:cs="Times New Roman"/>
          <w:b/>
          <w:color w:val="auto"/>
        </w:rPr>
        <w:t>3. Фармацевтична форма</w:t>
      </w:r>
    </w:p>
    <w:p w14:paraId="21E8ECE8" w14:textId="6BD7E586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Суспензі</w:t>
      </w:r>
      <w:r w:rsidR="00534711" w:rsidRPr="00950B90">
        <w:rPr>
          <w:rFonts w:ascii="Times New Roman" w:hAnsi="Times New Roman" w:cs="Times New Roman"/>
          <w:color w:val="auto"/>
          <w:lang w:val="uk-UA"/>
        </w:rPr>
        <w:t>я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інтрацистернальн</w:t>
      </w:r>
      <w:r w:rsidR="00534711" w:rsidRPr="00950B90">
        <w:rPr>
          <w:rFonts w:ascii="Times New Roman" w:hAnsi="Times New Roman" w:cs="Times New Roman"/>
          <w:color w:val="auto"/>
          <w:lang w:val="uk-UA"/>
        </w:rPr>
        <w:t>а.</w:t>
      </w:r>
    </w:p>
    <w:p w14:paraId="7FD55240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 xml:space="preserve">4.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Фармакологічні</w:t>
      </w:r>
      <w:r w:rsidRPr="00950B90">
        <w:rPr>
          <w:rFonts w:ascii="Times New Roman" w:hAnsi="Times New Roman" w:cs="Times New Roman"/>
          <w:b/>
          <w:color w:val="auto"/>
        </w:rPr>
        <w:t xml:space="preserve"> властивості</w:t>
      </w:r>
    </w:p>
    <w:p w14:paraId="7F77E706" w14:textId="77777777" w:rsidR="0084499D" w:rsidRPr="00950B90" w:rsidRDefault="00DD4FCB" w:rsidP="0084499D">
      <w:pPr>
        <w:pStyle w:val="Standard"/>
        <w:jc w:val="both"/>
        <w:rPr>
          <w:rFonts w:ascii="Times New Roman" w:hAnsi="Times New Roman" w:cs="Times New Roman"/>
          <w:b/>
          <w:i/>
          <w:lang w:val="uk-UA"/>
        </w:rPr>
      </w:pPr>
      <w:r w:rsidRPr="00950B90">
        <w:rPr>
          <w:rFonts w:ascii="Times New Roman" w:hAnsi="Times New Roman" w:cs="Times New Roman"/>
        </w:rPr>
        <w:tab/>
      </w:r>
      <w:r w:rsidR="0084499D" w:rsidRPr="00950B90">
        <w:rPr>
          <w:rFonts w:ascii="Times New Roman" w:hAnsi="Times New Roman" w:cs="Times New Roman"/>
          <w:b/>
          <w:i/>
        </w:rPr>
        <w:t>ATC vet класифікаційний код: QJ</w:t>
      </w:r>
      <w:r w:rsidR="0084499D" w:rsidRPr="00950B90">
        <w:rPr>
          <w:rFonts w:ascii="Times New Roman" w:hAnsi="Times New Roman" w:cs="Times New Roman"/>
          <w:b/>
          <w:i/>
          <w:lang w:val="uk-UA"/>
        </w:rPr>
        <w:t>5</w:t>
      </w:r>
      <w:r w:rsidR="0084499D" w:rsidRPr="00950B90">
        <w:rPr>
          <w:rFonts w:ascii="Times New Roman" w:hAnsi="Times New Roman" w:cs="Times New Roman"/>
          <w:b/>
          <w:i/>
        </w:rPr>
        <w:t>1</w:t>
      </w:r>
      <w:r w:rsidR="0084499D" w:rsidRPr="00950B90">
        <w:rPr>
          <w:rFonts w:ascii="Times New Roman" w:hAnsi="Times New Roman" w:cs="Times New Roman"/>
          <w:b/>
          <w:i/>
          <w:lang w:val="en-US"/>
        </w:rPr>
        <w:t>R</w:t>
      </w:r>
      <w:r w:rsidR="0084499D" w:rsidRPr="00950B90">
        <w:rPr>
          <w:rFonts w:ascii="Times New Roman" w:hAnsi="Times New Roman" w:cs="Times New Roman"/>
          <w:b/>
          <w:i/>
        </w:rPr>
        <w:t xml:space="preserve"> —</w:t>
      </w:r>
      <w:r w:rsidR="0084499D" w:rsidRPr="00950B90">
        <w:rPr>
          <w:rFonts w:ascii="Times New Roman" w:hAnsi="Times New Roman" w:cs="Times New Roman"/>
          <w:b/>
          <w:i/>
          <w:lang w:val="uk-UA"/>
        </w:rPr>
        <w:t xml:space="preserve"> </w:t>
      </w:r>
      <w:r w:rsidR="0084499D" w:rsidRPr="00950B90">
        <w:rPr>
          <w:rFonts w:ascii="Times New Roman" w:hAnsi="Times New Roman" w:cs="Times New Roman"/>
          <w:b/>
          <w:i/>
          <w:iCs/>
          <w:lang w:val="uk-UA"/>
        </w:rPr>
        <w:t>комбінації антибактеріальних ветеринарних препаратів для інтрацистернального введення. (QJ51</w:t>
      </w:r>
      <w:r w:rsidR="0084499D" w:rsidRPr="00950B90">
        <w:rPr>
          <w:rFonts w:ascii="Times New Roman" w:hAnsi="Times New Roman" w:cs="Times New Roman"/>
          <w:b/>
          <w:i/>
          <w:iCs/>
          <w:lang w:val="en-US"/>
        </w:rPr>
        <w:t>CR</w:t>
      </w:r>
      <w:r w:rsidR="0084499D" w:rsidRPr="00950B90">
        <w:rPr>
          <w:rFonts w:ascii="Times New Roman" w:hAnsi="Times New Roman" w:cs="Times New Roman"/>
          <w:b/>
          <w:i/>
          <w:iCs/>
          <w:lang w:val="uk-UA"/>
        </w:rPr>
        <w:t>02 — комбінації амоксициліну та інгібітора ферменту).</w:t>
      </w:r>
    </w:p>
    <w:p w14:paraId="35E6CA6A" w14:textId="77777777" w:rsidR="0084499D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>Амоксицилін – це напівсинтетичний пеніцилін (β-лактамний антибіотик), що володіє широким спектром протимікробної дії. Механізм бактерицидної дії амоксициліну полягає у порушенні синтезу клітинної стінки, що приводить до лізису бактеріальної клітини. У випадку грампозитивної бактерії, β-лактамні антибіотики вільно проходять через пептидоглікановий шар до цитоплазматичної мембрани. У грамнегативної бактерії існує зовнішній гідрофобний бар’єр. β-лактамні антибіотики широкого спектру, такі як амоксицилін, мають здатність проходити крізь цей бар’єр, оскільки вони мають дрібнопористу структуру.</w:t>
      </w:r>
    </w:p>
    <w:p w14:paraId="71F01A73" w14:textId="77777777" w:rsidR="0084499D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>Одним із шляхів виникнення резистентності до β-лактамних антибіотиків є вироблення бактеріями ензимів (β-лактамаз), які утворюють комплекси з антибіотиками. Як наслідок руйнується β-лактамне кільце і антибіотик втрачає активність.</w:t>
      </w:r>
    </w:p>
    <w:p w14:paraId="233394BB" w14:textId="77777777" w:rsidR="0084499D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>Клавуланова кислота має в своїй структурі β-лактамне кільце, яке бактерія розпізнає як пеніцилін. При взаємодії β-лактамази та клавуланової кислоти утворюється інактивний комплекс, і за рахунок цього амоксицилін не втрачає своєї активності.</w:t>
      </w:r>
    </w:p>
    <w:p w14:paraId="0CDD9397" w14:textId="77777777" w:rsidR="0084499D" w:rsidRPr="00950B90" w:rsidRDefault="0084499D" w:rsidP="0084499D">
      <w:pPr>
        <w:pStyle w:val="Standard"/>
        <w:ind w:firstLine="709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 xml:space="preserve">Препарат активно діє проти багатьох грампозитивних та грамнегативних бактерій, виключно з продуцентами β-лактамази: </w:t>
      </w:r>
      <w:r w:rsidRPr="00950B90">
        <w:rPr>
          <w:rFonts w:ascii="Times New Roman" w:hAnsi="Times New Roman" w:cs="Times New Roman"/>
          <w:i/>
          <w:iCs/>
          <w:lang w:val="en-US"/>
        </w:rPr>
        <w:t>Staphylococcus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950B90">
        <w:rPr>
          <w:rFonts w:ascii="Times New Roman" w:hAnsi="Times New Roman" w:cs="Times New Roman"/>
          <w:i/>
          <w:iCs/>
          <w:lang w:val="en-US"/>
        </w:rPr>
        <w:t>spp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., </w:t>
      </w:r>
      <w:r w:rsidRPr="00950B90">
        <w:rPr>
          <w:rFonts w:ascii="Times New Roman" w:hAnsi="Times New Roman" w:cs="Times New Roman"/>
          <w:i/>
          <w:iCs/>
          <w:lang w:val="en-US"/>
        </w:rPr>
        <w:t>Streptococcus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950B90">
        <w:rPr>
          <w:rFonts w:ascii="Times New Roman" w:hAnsi="Times New Roman" w:cs="Times New Roman"/>
          <w:i/>
          <w:iCs/>
          <w:lang w:val="en-US"/>
        </w:rPr>
        <w:t>spp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., </w:t>
      </w:r>
      <w:r w:rsidRPr="00950B90">
        <w:rPr>
          <w:rFonts w:ascii="Times New Roman" w:hAnsi="Times New Roman" w:cs="Times New Roman"/>
          <w:i/>
          <w:iCs/>
          <w:lang w:val="en-US"/>
        </w:rPr>
        <w:t>E</w:t>
      </w:r>
      <w:r w:rsidRPr="00950B90">
        <w:rPr>
          <w:rFonts w:ascii="Times New Roman" w:hAnsi="Times New Roman" w:cs="Times New Roman"/>
          <w:i/>
          <w:iCs/>
          <w:lang w:val="uk-UA"/>
        </w:rPr>
        <w:t>.</w:t>
      </w:r>
      <w:r w:rsidRPr="00950B90">
        <w:rPr>
          <w:rFonts w:ascii="Times New Roman" w:hAnsi="Times New Roman" w:cs="Times New Roman"/>
          <w:i/>
          <w:iCs/>
          <w:lang w:val="en-US"/>
        </w:rPr>
        <w:t>coli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, </w:t>
      </w:r>
      <w:r w:rsidRPr="00950B90">
        <w:rPr>
          <w:rFonts w:ascii="Times New Roman" w:hAnsi="Times New Roman" w:cs="Times New Roman"/>
          <w:i/>
          <w:iCs/>
          <w:lang w:val="en-US"/>
        </w:rPr>
        <w:t>Arcanobacteria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 (</w:t>
      </w:r>
      <w:r w:rsidRPr="00950B90">
        <w:rPr>
          <w:rFonts w:ascii="Times New Roman" w:hAnsi="Times New Roman" w:cs="Times New Roman"/>
          <w:iCs/>
          <w:lang w:val="uk-UA"/>
        </w:rPr>
        <w:t>включаючи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950B90">
        <w:rPr>
          <w:rFonts w:ascii="Times New Roman" w:hAnsi="Times New Roman" w:cs="Times New Roman"/>
          <w:i/>
          <w:iCs/>
          <w:lang w:val="en-US"/>
        </w:rPr>
        <w:t>A</w:t>
      </w:r>
      <w:r w:rsidRPr="00950B90">
        <w:rPr>
          <w:rFonts w:ascii="Times New Roman" w:hAnsi="Times New Roman" w:cs="Times New Roman"/>
          <w:i/>
          <w:iCs/>
          <w:lang w:val="uk-UA"/>
        </w:rPr>
        <w:t xml:space="preserve">. </w:t>
      </w:r>
      <w:r w:rsidRPr="00950B90">
        <w:rPr>
          <w:rFonts w:ascii="Times New Roman" w:hAnsi="Times New Roman" w:cs="Times New Roman"/>
          <w:i/>
          <w:iCs/>
          <w:lang w:val="en-US"/>
        </w:rPr>
        <w:t>Pyogenes</w:t>
      </w:r>
      <w:r w:rsidRPr="00950B90">
        <w:rPr>
          <w:rFonts w:ascii="Times New Roman" w:hAnsi="Times New Roman" w:cs="Times New Roman"/>
          <w:i/>
          <w:iCs/>
          <w:lang w:val="uk-UA"/>
        </w:rPr>
        <w:t>).</w:t>
      </w:r>
    </w:p>
    <w:p w14:paraId="2B73D08A" w14:textId="77777777" w:rsidR="0084499D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 xml:space="preserve">Преднізолон являється дегідрованим аналогом гідрокортизолу. Він має властивості, притаманні іншим сполукам цієї групи, а саме, володіє: протизапальною, десенсибілізуючою та антиалергічною діями, а також протишоковими та антитоксичними властивостями. Стимулюючи стероїдні рецептори, він індукує утворення особливого класу білків – ліпокортинів, які проявляють протинабрякову активність, а також знижують активність гіалуронідази та сприяють зниженню проникності капілярів. </w:t>
      </w:r>
    </w:p>
    <w:p w14:paraId="6B2144D4" w14:textId="1513F8F4" w:rsidR="00A34B03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>Препарат добре і швидко всмоктується при інтрацистернальному застосуванні. У тканині молочної залози добре розподіляється в паренхімі.</w:t>
      </w:r>
    </w:p>
    <w:p w14:paraId="557C06BB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</w:r>
      <w:r w:rsidRPr="00950B90">
        <w:rPr>
          <w:rFonts w:ascii="Times New Roman" w:hAnsi="Times New Roman" w:cs="Times New Roman"/>
          <w:b/>
          <w:color w:val="auto"/>
        </w:rPr>
        <w:t>5. Клінічні особливості</w:t>
      </w:r>
    </w:p>
    <w:p w14:paraId="121B0C6D" w14:textId="77777777" w:rsidR="007A6496" w:rsidRPr="00950B90" w:rsidRDefault="00DD4FCB">
      <w:pPr>
        <w:pStyle w:val="Standard"/>
        <w:rPr>
          <w:rFonts w:ascii="Times New Roman" w:hAnsi="Times New Roman" w:cs="Times New Roman"/>
          <w:b/>
        </w:rPr>
      </w:pPr>
      <w:r w:rsidRPr="00950B90">
        <w:rPr>
          <w:rFonts w:ascii="Times New Roman" w:hAnsi="Times New Roman" w:cs="Times New Roman"/>
          <w:b/>
        </w:rPr>
        <w:tab/>
        <w:t>5.1. Вид тварин</w:t>
      </w:r>
    </w:p>
    <w:p w14:paraId="505BAE4B" w14:textId="77777777" w:rsidR="0084499D" w:rsidRPr="00950B90" w:rsidRDefault="00DD4FCB" w:rsidP="0084499D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r w:rsidR="0084499D" w:rsidRPr="00950B90">
        <w:rPr>
          <w:rFonts w:ascii="Times New Roman" w:hAnsi="Times New Roman" w:cs="Times New Roman"/>
          <w:color w:val="auto"/>
          <w:lang w:val="uk-UA"/>
        </w:rPr>
        <w:t>В</w:t>
      </w:r>
      <w:r w:rsidR="0084499D" w:rsidRPr="00950B90">
        <w:rPr>
          <w:rFonts w:ascii="Times New Roman" w:hAnsi="Times New Roman" w:cs="Times New Roman"/>
          <w:color w:val="auto"/>
        </w:rPr>
        <w:t>елика рогата худоба.</w:t>
      </w:r>
    </w:p>
    <w:p w14:paraId="683A5866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>5.2. Показання до застосування</w:t>
      </w:r>
    </w:p>
    <w:p w14:paraId="215E2323" w14:textId="77777777" w:rsidR="0084499D" w:rsidRPr="00950B90" w:rsidRDefault="0084499D" w:rsidP="0084499D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</w:r>
      <w:r w:rsidRPr="00950B90">
        <w:rPr>
          <w:lang w:val="uk-UA"/>
        </w:rPr>
        <w:t>Лікування корів у період лактації, хворих на субклінічні та клінічні форми маститів, що  спричинені мікроорганізмами (</w:t>
      </w:r>
      <w:r w:rsidRPr="00950B90">
        <w:rPr>
          <w:i/>
          <w:lang w:val="en-US"/>
        </w:rPr>
        <w:t>Staphylococcus</w:t>
      </w:r>
      <w:r w:rsidRPr="00950B90">
        <w:rPr>
          <w:i/>
          <w:lang w:val="uk-UA"/>
        </w:rPr>
        <w:t xml:space="preserve"> </w:t>
      </w:r>
      <w:r w:rsidRPr="00950B90">
        <w:rPr>
          <w:i/>
          <w:lang w:val="en-US"/>
        </w:rPr>
        <w:t>spp</w:t>
      </w:r>
      <w:r w:rsidRPr="00950B90">
        <w:rPr>
          <w:i/>
          <w:lang w:val="uk-UA"/>
        </w:rPr>
        <w:t xml:space="preserve">., </w:t>
      </w:r>
      <w:r w:rsidRPr="00950B90">
        <w:rPr>
          <w:i/>
          <w:lang w:val="en-US"/>
        </w:rPr>
        <w:t>Streptococcus</w:t>
      </w:r>
      <w:r w:rsidRPr="00950B90">
        <w:rPr>
          <w:i/>
          <w:lang w:val="uk-UA"/>
        </w:rPr>
        <w:t xml:space="preserve"> </w:t>
      </w:r>
      <w:r w:rsidRPr="00950B90">
        <w:rPr>
          <w:i/>
          <w:lang w:val="en-US"/>
        </w:rPr>
        <w:t>spp</w:t>
      </w:r>
      <w:r w:rsidRPr="00950B90">
        <w:rPr>
          <w:i/>
          <w:lang w:val="uk-UA"/>
        </w:rPr>
        <w:t>. (</w:t>
      </w:r>
      <w:r w:rsidRPr="00950B90">
        <w:rPr>
          <w:iCs/>
          <w:lang w:val="uk-UA"/>
        </w:rPr>
        <w:t>включаючи</w:t>
      </w:r>
      <w:r w:rsidRPr="00950B90">
        <w:rPr>
          <w:i/>
          <w:lang w:val="uk-UA"/>
        </w:rPr>
        <w:t xml:space="preserve"> </w:t>
      </w:r>
      <w:r w:rsidRPr="00950B90">
        <w:rPr>
          <w:i/>
          <w:lang w:val="en-US"/>
        </w:rPr>
        <w:t>S</w:t>
      </w:r>
      <w:r w:rsidRPr="00950B90">
        <w:rPr>
          <w:i/>
          <w:lang w:val="uk-UA"/>
        </w:rPr>
        <w:t xml:space="preserve">. </w:t>
      </w:r>
      <w:r w:rsidRPr="00950B90">
        <w:rPr>
          <w:i/>
          <w:lang w:val="en-US"/>
        </w:rPr>
        <w:t>agalactiae</w:t>
      </w:r>
      <w:r w:rsidRPr="00950B90">
        <w:rPr>
          <w:i/>
          <w:lang w:val="uk-UA"/>
        </w:rPr>
        <w:t xml:space="preserve">, </w:t>
      </w:r>
      <w:r w:rsidRPr="00950B90">
        <w:rPr>
          <w:i/>
          <w:lang w:val="en-US"/>
        </w:rPr>
        <w:t>S</w:t>
      </w:r>
      <w:r w:rsidRPr="00950B90">
        <w:rPr>
          <w:i/>
          <w:lang w:val="uk-UA"/>
        </w:rPr>
        <w:t xml:space="preserve">. </w:t>
      </w:r>
      <w:r w:rsidRPr="00950B90">
        <w:rPr>
          <w:i/>
          <w:lang w:val="en-US"/>
        </w:rPr>
        <w:t>dysgalactiae</w:t>
      </w:r>
      <w:r w:rsidRPr="00950B90">
        <w:rPr>
          <w:i/>
          <w:lang w:val="uk-UA"/>
        </w:rPr>
        <w:t xml:space="preserve"> </w:t>
      </w:r>
      <w:r w:rsidRPr="00950B90">
        <w:rPr>
          <w:iCs/>
          <w:lang w:val="uk-UA"/>
        </w:rPr>
        <w:t>та</w:t>
      </w:r>
      <w:r w:rsidRPr="00950B90">
        <w:rPr>
          <w:i/>
          <w:lang w:val="uk-UA"/>
        </w:rPr>
        <w:t xml:space="preserve"> </w:t>
      </w:r>
      <w:r w:rsidRPr="00950B90">
        <w:rPr>
          <w:i/>
          <w:lang w:val="en-US"/>
        </w:rPr>
        <w:t>S</w:t>
      </w:r>
      <w:r w:rsidRPr="00950B90">
        <w:rPr>
          <w:i/>
          <w:lang w:val="uk-UA"/>
        </w:rPr>
        <w:t xml:space="preserve">. </w:t>
      </w:r>
      <w:r w:rsidRPr="00950B90">
        <w:rPr>
          <w:i/>
          <w:lang w:val="en-US"/>
        </w:rPr>
        <w:t>uberis</w:t>
      </w:r>
      <w:r w:rsidRPr="00950B90">
        <w:rPr>
          <w:i/>
          <w:lang w:val="uk-UA"/>
        </w:rPr>
        <w:t xml:space="preserve">), </w:t>
      </w:r>
      <w:r w:rsidRPr="00950B90">
        <w:rPr>
          <w:i/>
          <w:lang w:val="en-US"/>
        </w:rPr>
        <w:t>E</w:t>
      </w:r>
      <w:r w:rsidRPr="00950B90">
        <w:rPr>
          <w:i/>
          <w:lang w:val="uk-UA"/>
        </w:rPr>
        <w:t xml:space="preserve">. </w:t>
      </w:r>
      <w:r w:rsidRPr="00950B90">
        <w:rPr>
          <w:i/>
          <w:lang w:val="en-US"/>
        </w:rPr>
        <w:t>coli</w:t>
      </w:r>
      <w:r w:rsidRPr="00950B90">
        <w:rPr>
          <w:i/>
          <w:lang w:val="uk-UA"/>
        </w:rPr>
        <w:t xml:space="preserve">, </w:t>
      </w:r>
      <w:r w:rsidRPr="00950B90">
        <w:rPr>
          <w:lang w:val="uk-UA"/>
        </w:rPr>
        <w:t>чутливими до амоксициліну та клавуланової кислоти.</w:t>
      </w:r>
    </w:p>
    <w:p w14:paraId="3376C6A3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</w:r>
      <w:r w:rsidRPr="00950B90">
        <w:rPr>
          <w:rFonts w:ascii="Times New Roman" w:hAnsi="Times New Roman" w:cs="Times New Roman"/>
          <w:b/>
          <w:color w:val="auto"/>
        </w:rPr>
        <w:t>5.3. Протипоказання</w:t>
      </w:r>
    </w:p>
    <w:p w14:paraId="6EAF3BA5" w14:textId="77777777" w:rsidR="0084499D" w:rsidRPr="00950B90" w:rsidRDefault="0084499D" w:rsidP="008449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50B90">
        <w:rPr>
          <w:rFonts w:ascii="Times New Roman" w:hAnsi="Times New Roman" w:cs="Times New Roman"/>
          <w:lang w:val="uk-UA"/>
        </w:rPr>
        <w:tab/>
        <w:t>Не застосовувати тваринам з відомою гіперчутливістю до амоксициліну, клавуланової кислоти чи преднізолону.</w:t>
      </w:r>
    </w:p>
    <w:p w14:paraId="53902060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 xml:space="preserve">Не застосовувати коровам з маститами, спричиненими </w:t>
      </w:r>
      <w:r w:rsidRPr="00950B90">
        <w:rPr>
          <w:rFonts w:ascii="Times New Roman" w:hAnsi="Times New Roman" w:cs="Times New Roman"/>
          <w:i/>
          <w:color w:val="auto"/>
          <w:lang w:val="uk-UA"/>
        </w:rPr>
        <w:t>Pseudomonas spp.</w:t>
      </w:r>
    </w:p>
    <w:p w14:paraId="5B36F165" w14:textId="77777777" w:rsidR="0084499D" w:rsidRPr="00950B90" w:rsidRDefault="0084499D" w:rsidP="0084499D">
      <w:pPr>
        <w:pStyle w:val="Standard"/>
        <w:jc w:val="both"/>
        <w:rPr>
          <w:i/>
          <w:lang w:val="uk-UA"/>
        </w:rPr>
      </w:pPr>
      <w:r w:rsidRPr="00950B90">
        <w:rPr>
          <w:rFonts w:ascii="Times New Roman" w:hAnsi="Times New Roman" w:cs="Times New Roman"/>
          <w:b/>
          <w:lang w:val="uk-UA"/>
        </w:rPr>
        <w:lastRenderedPageBreak/>
        <w:tab/>
      </w:r>
    </w:p>
    <w:p w14:paraId="65D78675" w14:textId="77777777" w:rsidR="0084499D" w:rsidRPr="00950B90" w:rsidRDefault="0084499D" w:rsidP="0084499D">
      <w:pPr>
        <w:pStyle w:val="Default"/>
        <w:jc w:val="right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eastAsia="Times New Roman" w:hAnsi="Times New Roman" w:cs="Times New Roman"/>
          <w:color w:val="auto"/>
          <w:lang w:val="uk-UA"/>
        </w:rPr>
        <w:t xml:space="preserve">Продовження додатку 1 </w:t>
      </w:r>
      <w:r w:rsidRPr="00950B90">
        <w:rPr>
          <w:rFonts w:ascii="Times New Roman" w:eastAsia="Times New Roman" w:hAnsi="Times New Roman" w:cs="Times New Roman"/>
          <w:color w:val="auto"/>
          <w:lang w:val="uk-UA"/>
        </w:rPr>
        <w:br/>
      </w:r>
      <w:r w:rsidRPr="00950B90">
        <w:rPr>
          <w:rFonts w:ascii="Times New Roman" w:hAnsi="Times New Roman" w:cs="Times New Roman"/>
          <w:color w:val="auto"/>
          <w:lang w:val="uk-UA"/>
        </w:rPr>
        <w:t>до реєстраційного посвідчення</w:t>
      </w:r>
    </w:p>
    <w:p w14:paraId="184E1D62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  <w:lang w:val="uk-UA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5.4. Побічна дія</w:t>
      </w:r>
    </w:p>
    <w:p w14:paraId="07C9FB24" w14:textId="77777777" w:rsidR="0084499D" w:rsidRPr="00950B90" w:rsidRDefault="0084499D" w:rsidP="0084499D">
      <w:pPr>
        <w:pStyle w:val="Default"/>
        <w:jc w:val="both"/>
        <w:rPr>
          <w:rFonts w:ascii="Times New Roman" w:hAnsi="Times New Roman"/>
          <w:color w:val="auto"/>
          <w:lang w:val="uk-UA"/>
        </w:rPr>
      </w:pPr>
      <w:r w:rsidRPr="00950B90">
        <w:rPr>
          <w:rFonts w:ascii="Times New Roman" w:hAnsi="Times New Roman"/>
          <w:color w:val="auto"/>
          <w:lang w:val="uk-UA"/>
        </w:rPr>
        <w:tab/>
      </w:r>
      <w:bookmarkStart w:id="1" w:name="_Hlk181972897"/>
      <w:r w:rsidRPr="00950B90">
        <w:rPr>
          <w:rFonts w:ascii="Times New Roman" w:hAnsi="Times New Roman"/>
          <w:color w:val="auto"/>
          <w:lang w:val="uk-UA"/>
        </w:rPr>
        <w:t>У тварин з підвищеною чутливістю до діючих препарату можуть виникати алергічні реакції.</w:t>
      </w:r>
    </w:p>
    <w:bookmarkEnd w:id="1"/>
    <w:p w14:paraId="6AB452F1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</w:r>
      <w:r w:rsidRPr="00950B90">
        <w:rPr>
          <w:rFonts w:ascii="Times New Roman" w:hAnsi="Times New Roman" w:cs="Times New Roman"/>
          <w:b/>
          <w:color w:val="auto"/>
        </w:rPr>
        <w:t>5.5. Особливі застереження при використанні</w:t>
      </w:r>
    </w:p>
    <w:p w14:paraId="22DED09A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color w:val="auto"/>
          <w:w w:val="110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r w:rsidRPr="00950B90">
        <w:rPr>
          <w:rFonts w:ascii="Times New Roman" w:hAnsi="Times New Roman" w:cs="Times New Roman"/>
          <w:color w:val="auto"/>
          <w:w w:val="110"/>
          <w:lang w:val="uk-UA"/>
        </w:rPr>
        <w:t>Шприц для одноразового використання.</w:t>
      </w:r>
    </w:p>
    <w:p w14:paraId="58F570BF" w14:textId="77777777" w:rsidR="0084499D" w:rsidRPr="00950B90" w:rsidRDefault="0084499D" w:rsidP="0084499D">
      <w:pPr>
        <w:pStyle w:val="Default"/>
        <w:jc w:val="both"/>
        <w:rPr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w w:val="110"/>
          <w:lang w:val="uk-UA"/>
        </w:rPr>
        <w:tab/>
        <w:t>При використанні препарату необхідно враховувати офіційні та місцеві правила антибіотикотерапії. Перед застосування препарату рекомендовано зробити тест на чутливість мікроорганізму-збудника захворювання до діючих речовин препарату. Якщо це неможливо, необхідно налагодити терапію на місцевому (обласну, господарську) епізоотичну інформацію про чутливість цільової бактерії. Використання препарату, що відрізняється від інструкцій, наведених у КХП, може збільшити поширеність бактерій, стійких до комбінації амоксициліну та клавуланової кислоти, і зменшити ефективність терапії іншими бета-лактамами через можливу перехресну резистентність.</w:t>
      </w:r>
    </w:p>
    <w:p w14:paraId="5AF33031" w14:textId="77777777" w:rsidR="0084499D" w:rsidRPr="00950B90" w:rsidRDefault="0084499D" w:rsidP="0084499D">
      <w:pPr>
        <w:pStyle w:val="Default"/>
        <w:rPr>
          <w:color w:val="auto"/>
          <w:lang w:val="uk-UA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5.6. Застосування під час вагітності, лактації, несучості</w:t>
      </w:r>
    </w:p>
    <w:p w14:paraId="3E8CBBB7" w14:textId="77777777" w:rsidR="0084499D" w:rsidRPr="00950B90" w:rsidRDefault="0084499D" w:rsidP="0084499D">
      <w:pPr>
        <w:pStyle w:val="Standard"/>
        <w:spacing w:line="208" w:lineRule="auto"/>
        <w:jc w:val="both"/>
        <w:rPr>
          <w:lang w:val="uk-UA"/>
        </w:rPr>
      </w:pPr>
      <w:r w:rsidRPr="00950B90">
        <w:rPr>
          <w:rFonts w:ascii="Times New Roman" w:hAnsi="Times New Roman" w:cs="Times New Roman"/>
          <w:w w:val="110"/>
          <w:lang w:val="uk-UA"/>
        </w:rPr>
        <w:tab/>
      </w:r>
      <w:r w:rsidRPr="00950B90">
        <w:rPr>
          <w:lang w:val="uk-UA"/>
        </w:rPr>
        <w:t>Препарат можна застосовувати для лактуючих та тільних корів.</w:t>
      </w:r>
    </w:p>
    <w:p w14:paraId="380A353F" w14:textId="77777777" w:rsidR="0084499D" w:rsidRPr="00950B90" w:rsidRDefault="0084499D" w:rsidP="0084499D">
      <w:pPr>
        <w:pStyle w:val="Default"/>
        <w:rPr>
          <w:rFonts w:ascii="Times New Roman" w:hAnsi="Times New Roman"/>
          <w:color w:val="auto"/>
          <w:lang w:val="uk-UA"/>
        </w:rPr>
      </w:pPr>
      <w:r w:rsidRPr="00950B90">
        <w:rPr>
          <w:rFonts w:ascii="Times New Roman" w:hAnsi="Times New Roman"/>
          <w:color w:val="auto"/>
          <w:lang w:val="uk-UA"/>
        </w:rPr>
        <w:tab/>
      </w:r>
      <w:r w:rsidRPr="00950B90">
        <w:rPr>
          <w:rFonts w:ascii="Times New Roman" w:hAnsi="Times New Roman"/>
          <w:b/>
          <w:bCs/>
          <w:color w:val="auto"/>
          <w:lang w:val="uk-UA"/>
        </w:rPr>
        <w:t>5.7. Взаємодія з іншими засобами та інші форми взаємодії</w:t>
      </w:r>
    </w:p>
    <w:p w14:paraId="7AA97C96" w14:textId="77777777" w:rsidR="0084499D" w:rsidRPr="00950B90" w:rsidRDefault="0084499D" w:rsidP="0084499D">
      <w:pPr>
        <w:pStyle w:val="Default"/>
        <w:rPr>
          <w:rFonts w:ascii="Times New Roman" w:hAnsi="Times New Roman"/>
          <w:color w:val="auto"/>
          <w:lang w:val="uk-UA"/>
        </w:rPr>
      </w:pPr>
      <w:r w:rsidRPr="00950B90">
        <w:rPr>
          <w:rFonts w:ascii="Times New Roman" w:hAnsi="Times New Roman"/>
          <w:color w:val="auto"/>
          <w:lang w:val="uk-UA"/>
        </w:rPr>
        <w:tab/>
        <w:t>Невідома</w:t>
      </w:r>
      <w:r w:rsidRPr="00950B90">
        <w:rPr>
          <w:rFonts w:ascii="Times New Roman" w:hAnsi="Times New Roman" w:cs="Times New Roman"/>
          <w:color w:val="auto"/>
          <w:lang w:val="uk-UA"/>
        </w:rPr>
        <w:t>.</w:t>
      </w:r>
    </w:p>
    <w:p w14:paraId="531D8A5D" w14:textId="77777777" w:rsidR="0084499D" w:rsidRPr="00950B90" w:rsidRDefault="0084499D" w:rsidP="0084499D">
      <w:pPr>
        <w:pStyle w:val="Standard"/>
        <w:rPr>
          <w:rFonts w:ascii="Times New Roman" w:hAnsi="Times New Roman" w:cs="Times New Roman"/>
          <w:b/>
        </w:rPr>
      </w:pPr>
      <w:r w:rsidRPr="00950B90">
        <w:rPr>
          <w:rFonts w:ascii="Times New Roman" w:hAnsi="Times New Roman" w:cs="Times New Roman"/>
          <w:b/>
        </w:rPr>
        <w:tab/>
        <w:t>5.8 Дози і спосіб введення тваринам різного віку</w:t>
      </w:r>
    </w:p>
    <w:p w14:paraId="2F520600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r w:rsidRPr="00950B90">
        <w:rPr>
          <w:rFonts w:ascii="Times New Roman" w:hAnsi="Times New Roman" w:cs="Times New Roman"/>
          <w:iCs/>
          <w:color w:val="auto"/>
          <w:lang w:val="uk-UA"/>
        </w:rPr>
        <w:t>Повний курс лікування складається з 3 шприців - туб</w:t>
      </w:r>
      <w:r w:rsidRPr="00950B90">
        <w:rPr>
          <w:iCs/>
          <w:color w:val="auto"/>
          <w:lang w:val="uk-UA"/>
        </w:rPr>
        <w:t>.</w:t>
      </w:r>
    </w:p>
    <w:p w14:paraId="78BCFD45" w14:textId="77777777" w:rsidR="0084499D" w:rsidRPr="00950B90" w:rsidRDefault="0084499D" w:rsidP="0084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 xml:space="preserve">Після видоювання секрету вимені вміст однієї шприц-туби вводять у дійковий канал ураженої чверті вимені тричі з інтервалом 12 годин. Перед введенням дійку необхідно вимити та продезінфікувати. </w:t>
      </w:r>
    </w:p>
    <w:p w14:paraId="054D4704" w14:textId="77777777" w:rsidR="0084499D" w:rsidRPr="00950B90" w:rsidRDefault="0084499D" w:rsidP="0084499D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 xml:space="preserve">Перед застосуванням ретельно струсити вміст шприц-туби і зняти захисний ковпачок. Після введення препарату чверть молочної залози масажують для рівномірного розподілу його по всій цистерні. </w:t>
      </w:r>
    </w:p>
    <w:p w14:paraId="00AA1D2E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</w:r>
      <w:r w:rsidRPr="00950B90">
        <w:rPr>
          <w:rFonts w:ascii="Times New Roman" w:hAnsi="Times New Roman" w:cs="Times New Roman"/>
          <w:b/>
          <w:color w:val="auto"/>
        </w:rPr>
        <w:t xml:space="preserve">5.9 Передозування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(симптоми, невідкладні заходи, антидоти)</w:t>
      </w:r>
    </w:p>
    <w:p w14:paraId="192E0E15" w14:textId="77777777" w:rsidR="0084499D" w:rsidRPr="00950B90" w:rsidRDefault="0084499D" w:rsidP="0084499D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Препарат зазвичай добре переноситься при правильному застосуванні. Випадкове передозування не викликає побічних ефектів.</w:t>
      </w:r>
    </w:p>
    <w:p w14:paraId="16DF0117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b/>
          <w:color w:val="auto"/>
          <w:lang w:val="uk-UA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5.10 Спеціальні застереження</w:t>
      </w:r>
    </w:p>
    <w:p w14:paraId="70EEA8B5" w14:textId="04399CF3" w:rsidR="007A6496" w:rsidRPr="00950B90" w:rsidRDefault="0084499D" w:rsidP="0084499D">
      <w:pPr>
        <w:pStyle w:val="Default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Відсутні.</w:t>
      </w:r>
    </w:p>
    <w:p w14:paraId="0ECB1BF9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  <w:lang w:val="uk-UA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5.11. Період виведення (каренції)</w:t>
      </w:r>
    </w:p>
    <w:p w14:paraId="34A2A63B" w14:textId="6875606C" w:rsidR="006F79BE" w:rsidRPr="00950B90" w:rsidRDefault="00DD4FCB" w:rsidP="00AA1349">
      <w:pPr>
        <w:pStyle w:val="Default"/>
        <w:jc w:val="both"/>
        <w:rPr>
          <w:color w:val="auto"/>
        </w:rPr>
      </w:pPr>
      <w:r w:rsidRPr="00950B90">
        <w:rPr>
          <w:rFonts w:ascii="Times New Roman" w:hAnsi="Times New Roman" w:cs="Times New Roman"/>
          <w:color w:val="auto"/>
          <w:w w:val="110"/>
          <w:lang w:val="uk-UA"/>
        </w:rPr>
        <w:tab/>
      </w:r>
      <w:bookmarkStart w:id="2" w:name="_Hlk181972846"/>
      <w:r w:rsidR="009F3A81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Споживання молока в їжу людям дозволяється через </w:t>
      </w:r>
      <w:r w:rsidR="00932D07" w:rsidRPr="00950B90">
        <w:rPr>
          <w:rFonts w:ascii="Times New Roman" w:hAnsi="Times New Roman" w:cs="Times New Roman"/>
          <w:color w:val="auto"/>
          <w:w w:val="110"/>
        </w:rPr>
        <w:t>84</w:t>
      </w:r>
      <w:r w:rsidR="009F3A81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 годин після останнього введення препарату</w:t>
      </w:r>
      <w:r w:rsidR="00736A20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 (7 доїнь при доїнні двічі на день або 11 доїнь при доїнні тричі на день)</w:t>
      </w:r>
      <w:r w:rsidR="009F3A81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. </w:t>
      </w:r>
      <w:r w:rsidR="006F79BE" w:rsidRPr="00950B90">
        <w:rPr>
          <w:rFonts w:ascii="Times New Roman" w:hAnsi="Times New Roman" w:cs="Times New Roman"/>
          <w:color w:val="auto"/>
          <w:w w:val="110"/>
          <w:lang w:val="uk-UA"/>
        </w:rPr>
        <w:t>Забій тварин на м'ясо дозволяється через 7 діб після останнього введення препарату.</w:t>
      </w:r>
      <w:r w:rsidR="006F79BE" w:rsidRPr="00950B90">
        <w:rPr>
          <w:rFonts w:ascii="Times New Roman" w:hAnsi="Times New Roman" w:cs="Times New Roman"/>
          <w:color w:val="auto"/>
          <w:w w:val="110"/>
          <w:lang w:val="uk-UA"/>
        </w:rPr>
        <w:tab/>
        <w:t xml:space="preserve">До зазначеного терміну м'ясо </w:t>
      </w:r>
      <w:r w:rsidR="00736A20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та молоко </w:t>
      </w:r>
      <w:r w:rsidR="006F79BE" w:rsidRPr="00950B90">
        <w:rPr>
          <w:rFonts w:ascii="Times New Roman" w:hAnsi="Times New Roman" w:cs="Times New Roman"/>
          <w:color w:val="auto"/>
          <w:w w:val="110"/>
          <w:lang w:val="uk-UA"/>
        </w:rPr>
        <w:t>згодовують непродуктивним тваринам або утилізують</w:t>
      </w:r>
      <w:bookmarkEnd w:id="2"/>
      <w:r w:rsidR="006F79BE" w:rsidRPr="00950B90">
        <w:rPr>
          <w:rFonts w:ascii="Times New Roman" w:hAnsi="Times New Roman" w:cs="Times New Roman"/>
          <w:color w:val="auto"/>
          <w:w w:val="110"/>
          <w:lang w:val="uk-UA"/>
        </w:rPr>
        <w:t>.</w:t>
      </w:r>
    </w:p>
    <w:p w14:paraId="412935E2" w14:textId="088636F9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>5.12. Спеціальні застереження для осіб і обслуговуючого персоналу</w:t>
      </w:r>
    </w:p>
    <w:p w14:paraId="6504E528" w14:textId="77777777" w:rsidR="007A6496" w:rsidRPr="00950B90" w:rsidRDefault="00DD4FCB" w:rsidP="00AA1349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bookmarkStart w:id="3" w:name="_Hlk181973025"/>
      <w:r w:rsidRPr="00950B90">
        <w:rPr>
          <w:rFonts w:ascii="Times New Roman" w:hAnsi="Times New Roman" w:cs="Times New Roman"/>
          <w:color w:val="auto"/>
          <w:lang w:val="uk-UA"/>
        </w:rPr>
        <w:t>Пеніциліни та цефалоспорини можуть спричиняти гіперчутливість (алергію) після контакту з препаратами. Гіперчутливість до пеніцилінів може призводити до виникнення перехресних реакцій з цефалоспоринами та навпаки. Алергічні реакції на ці речовини можуть бути серйозними.</w:t>
      </w:r>
    </w:p>
    <w:p w14:paraId="07D8295E" w14:textId="1E41339A" w:rsidR="007A6496" w:rsidRPr="00950B90" w:rsidRDefault="00DD4FCB" w:rsidP="00AA1349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Застосовуйте препарат з обережністю. Якщо відбувся контакт з препаратом</w:t>
      </w:r>
      <w:r w:rsidR="00AA1349" w:rsidRPr="00950B90">
        <w:rPr>
          <w:rFonts w:ascii="Times New Roman" w:hAnsi="Times New Roman" w:cs="Times New Roman"/>
          <w:color w:val="auto"/>
          <w:lang w:val="uk-UA"/>
        </w:rPr>
        <w:t>,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і у вас з'явились симптоми алергії (почервоніння шкіри)</w:t>
      </w:r>
      <w:r w:rsidR="00AA1349" w:rsidRPr="00950B90">
        <w:rPr>
          <w:rFonts w:ascii="Times New Roman" w:hAnsi="Times New Roman" w:cs="Times New Roman"/>
          <w:color w:val="auto"/>
          <w:lang w:val="uk-UA"/>
        </w:rPr>
        <w:t>,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зверніться за консультацією до лікаря. Свербіж обличчя, очей чи губ, важке дихання є більш серйозними симптомами і потребують негайної медичної допомоги. Після роботи з препаратом необхідно мити руки.</w:t>
      </w:r>
    </w:p>
    <w:bookmarkEnd w:id="3"/>
    <w:p w14:paraId="0AB7BBF7" w14:textId="77777777" w:rsidR="007A6496" w:rsidRPr="00950B90" w:rsidRDefault="00DD4FCB">
      <w:pPr>
        <w:pStyle w:val="Standard"/>
        <w:rPr>
          <w:rFonts w:ascii="Times New Roman" w:hAnsi="Times New Roman" w:cs="Times New Roman"/>
          <w:b/>
        </w:rPr>
      </w:pPr>
      <w:r w:rsidRPr="00950B90">
        <w:rPr>
          <w:rFonts w:ascii="Times New Roman" w:hAnsi="Times New Roman" w:cs="Times New Roman"/>
          <w:b/>
        </w:rPr>
        <w:tab/>
        <w:t>6. Фармацевтичні особливості</w:t>
      </w:r>
    </w:p>
    <w:p w14:paraId="45B2AAC7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>6.1 Основні форми несумісності</w:t>
      </w:r>
    </w:p>
    <w:p w14:paraId="724E6909" w14:textId="3810F050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</w:r>
      <w:r w:rsidRPr="00950B90">
        <w:rPr>
          <w:rFonts w:ascii="Times New Roman" w:hAnsi="Times New Roman" w:cs="Times New Roman"/>
          <w:color w:val="auto"/>
        </w:rPr>
        <w:t>Н</w:t>
      </w:r>
      <w:r w:rsidR="00AA1349" w:rsidRPr="00950B90">
        <w:rPr>
          <w:rFonts w:ascii="Times New Roman" w:hAnsi="Times New Roman" w:cs="Times New Roman"/>
          <w:color w:val="auto"/>
          <w:lang w:val="uk-UA"/>
        </w:rPr>
        <w:t>е</w:t>
      </w:r>
      <w:r w:rsidRPr="00950B90">
        <w:rPr>
          <w:rFonts w:ascii="Times New Roman" w:hAnsi="Times New Roman" w:cs="Times New Roman"/>
          <w:color w:val="auto"/>
          <w:lang w:val="uk-UA"/>
        </w:rPr>
        <w:t>відомі.</w:t>
      </w:r>
    </w:p>
    <w:p w14:paraId="452068D1" w14:textId="77777777" w:rsidR="007A6496" w:rsidRPr="00950B90" w:rsidRDefault="00DD4FCB">
      <w:pPr>
        <w:pStyle w:val="Standard"/>
        <w:rPr>
          <w:rFonts w:ascii="Times New Roman" w:hAnsi="Times New Roman" w:cs="Times New Roman"/>
          <w:b/>
        </w:rPr>
      </w:pPr>
      <w:r w:rsidRPr="00950B90">
        <w:rPr>
          <w:rFonts w:ascii="Times New Roman" w:hAnsi="Times New Roman" w:cs="Times New Roman"/>
          <w:b/>
        </w:rPr>
        <w:tab/>
        <w:t>6.2. Термін придатності</w:t>
      </w:r>
    </w:p>
    <w:p w14:paraId="0761FF28" w14:textId="77777777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</w:r>
      <w:r w:rsidRPr="00950B90">
        <w:rPr>
          <w:rFonts w:ascii="Times New Roman" w:hAnsi="Times New Roman" w:cs="Times New Roman"/>
          <w:color w:val="auto"/>
        </w:rPr>
        <w:t>2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роки</w:t>
      </w:r>
      <w:r w:rsidRPr="00950B90">
        <w:rPr>
          <w:rFonts w:ascii="Times New Roman" w:hAnsi="Times New Roman" w:cs="Times New Roman"/>
          <w:color w:val="auto"/>
        </w:rPr>
        <w:t xml:space="preserve">. 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</w:t>
      </w:r>
    </w:p>
    <w:p w14:paraId="55866437" w14:textId="77777777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 xml:space="preserve">6.3. Особливі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заходи</w:t>
      </w:r>
      <w:r w:rsidRPr="00950B90">
        <w:rPr>
          <w:rFonts w:ascii="Times New Roman" w:hAnsi="Times New Roman" w:cs="Times New Roman"/>
          <w:b/>
          <w:color w:val="auto"/>
        </w:rPr>
        <w:t xml:space="preserve"> зберігання 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 </w:t>
      </w:r>
    </w:p>
    <w:p w14:paraId="1FBF8526" w14:textId="6864BF0C" w:rsidR="007A6496" w:rsidRPr="00950B90" w:rsidRDefault="00DD4FCB">
      <w:pPr>
        <w:pStyle w:val="Default"/>
        <w:rPr>
          <w:rFonts w:ascii="Times New Roman" w:hAnsi="Times New Roman" w:cs="Times New Roman"/>
          <w:color w:val="auto"/>
          <w:lang w:val="uk-UA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Сухе темне, недоступне для діт</w:t>
      </w:r>
      <w:r w:rsidR="00AA1349" w:rsidRPr="00950B90">
        <w:rPr>
          <w:rFonts w:ascii="Times New Roman" w:hAnsi="Times New Roman" w:cs="Times New Roman"/>
          <w:color w:val="auto"/>
          <w:lang w:val="uk-UA"/>
        </w:rPr>
        <w:t>ей місце при температурі від 5 д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о 25 </w:t>
      </w:r>
      <w:r w:rsidRPr="00950B90">
        <w:rPr>
          <w:rFonts w:ascii="Times New Roman" w:hAnsi="Times New Roman" w:cs="Times New Roman"/>
          <w:color w:val="auto"/>
          <w:vertAlign w:val="superscript"/>
          <w:lang w:val="uk-UA"/>
        </w:rPr>
        <w:t>0</w:t>
      </w:r>
      <w:r w:rsidRPr="00950B90">
        <w:rPr>
          <w:rFonts w:ascii="Times New Roman" w:hAnsi="Times New Roman" w:cs="Times New Roman"/>
          <w:color w:val="auto"/>
          <w:lang w:val="uk-UA"/>
        </w:rPr>
        <w:t>С.</w:t>
      </w:r>
    </w:p>
    <w:p w14:paraId="1163BD40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>6.4. Природа і склад контейнера первинного пакування.</w:t>
      </w:r>
    </w:p>
    <w:p w14:paraId="208A4DE9" w14:textId="77777777" w:rsidR="0084499D" w:rsidRPr="00950B90" w:rsidRDefault="0084499D" w:rsidP="0084499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950B90">
        <w:rPr>
          <w:rFonts w:ascii="Times New Roman" w:eastAsia="Times New Roman" w:hAnsi="Times New Roman" w:cs="Times New Roman"/>
          <w:color w:val="auto"/>
          <w:lang w:val="uk-UA"/>
        </w:rPr>
        <w:lastRenderedPageBreak/>
        <w:t xml:space="preserve">Продовження додатку 1 </w:t>
      </w:r>
      <w:r w:rsidRPr="00950B90">
        <w:rPr>
          <w:rFonts w:ascii="Times New Roman" w:eastAsia="Times New Roman" w:hAnsi="Times New Roman" w:cs="Times New Roman"/>
          <w:color w:val="auto"/>
          <w:lang w:val="uk-UA"/>
        </w:rPr>
        <w:br/>
      </w:r>
      <w:r w:rsidRPr="00950B90">
        <w:rPr>
          <w:rFonts w:ascii="Times New Roman" w:hAnsi="Times New Roman" w:cs="Times New Roman"/>
          <w:color w:val="auto"/>
        </w:rPr>
        <w:t>до реєстраційного посвідчення</w:t>
      </w:r>
    </w:p>
    <w:p w14:paraId="74DB9AB7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p w14:paraId="27CB4BBA" w14:textId="77777777" w:rsidR="0084499D" w:rsidRPr="00950B90" w:rsidRDefault="0084499D" w:rsidP="0084499D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p w14:paraId="3A600DCD" w14:textId="32072829" w:rsidR="007A6496" w:rsidRPr="00950B90" w:rsidRDefault="00DD4FCB" w:rsidP="00AA13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0B90">
        <w:rPr>
          <w:rFonts w:ascii="Times New Roman" w:hAnsi="Times New Roman" w:cs="Times New Roman"/>
          <w:color w:val="auto"/>
        </w:rPr>
        <w:tab/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Поліетиленові шприц-туби місткістю </w:t>
      </w:r>
      <w:r w:rsidR="006F79BE" w:rsidRPr="00950B90">
        <w:rPr>
          <w:rFonts w:ascii="Times New Roman" w:hAnsi="Times New Roman" w:cs="Times New Roman"/>
          <w:color w:val="auto"/>
          <w:lang w:val="uk-UA"/>
        </w:rPr>
        <w:t>3</w:t>
      </w:r>
      <w:r w:rsidRPr="00950B90">
        <w:rPr>
          <w:rFonts w:ascii="Times New Roman" w:hAnsi="Times New Roman" w:cs="Times New Roman"/>
          <w:color w:val="auto"/>
          <w:lang w:val="uk-UA"/>
        </w:rPr>
        <w:t xml:space="preserve"> г. </w:t>
      </w:r>
      <w:r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Вторинна упаковка — картонні коробки, що містять </w:t>
      </w:r>
      <w:r w:rsidR="006F79BE" w:rsidRPr="00950B90">
        <w:rPr>
          <w:rFonts w:ascii="Times New Roman" w:hAnsi="Times New Roman" w:cs="Times New Roman"/>
          <w:color w:val="auto"/>
          <w:w w:val="110"/>
          <w:lang w:val="uk-UA"/>
        </w:rPr>
        <w:t xml:space="preserve">20 або </w:t>
      </w:r>
      <w:r w:rsidRPr="00950B90">
        <w:rPr>
          <w:rFonts w:ascii="Times New Roman" w:hAnsi="Times New Roman" w:cs="Times New Roman"/>
          <w:color w:val="auto"/>
          <w:w w:val="110"/>
          <w:lang w:val="uk-UA"/>
        </w:rPr>
        <w:t>40 шприців.</w:t>
      </w:r>
    </w:p>
    <w:p w14:paraId="11FE4B3D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</w:rPr>
        <w:tab/>
        <w:t>6.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5</w:t>
      </w:r>
      <w:r w:rsidRPr="00950B90">
        <w:rPr>
          <w:rFonts w:ascii="Times New Roman" w:hAnsi="Times New Roman" w:cs="Times New Roman"/>
          <w:b/>
          <w:color w:val="auto"/>
        </w:rPr>
        <w:t xml:space="preserve">. Особливі заходи безпеки при поводженні з невикористаним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препаратом або із його залишками</w:t>
      </w:r>
    </w:p>
    <w:p w14:paraId="63992DDD" w14:textId="77777777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color w:val="auto"/>
          <w:lang w:val="uk-UA"/>
        </w:rPr>
        <w:tab/>
        <w:t>Згідно з місцевими вимогами по знешкодженню невикористаних препаратів.</w:t>
      </w:r>
    </w:p>
    <w:p w14:paraId="068154CD" w14:textId="77777777" w:rsidR="007A6496" w:rsidRPr="00950B90" w:rsidRDefault="00DD4FCB">
      <w:pPr>
        <w:pStyle w:val="Default"/>
        <w:rPr>
          <w:rFonts w:ascii="Times New Roman" w:hAnsi="Times New Roman" w:cs="Times New Roman"/>
          <w:b/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7</w:t>
      </w:r>
      <w:r w:rsidRPr="00950B90">
        <w:rPr>
          <w:rFonts w:ascii="Times New Roman" w:hAnsi="Times New Roman" w:cs="Times New Roman"/>
          <w:b/>
          <w:color w:val="auto"/>
        </w:rPr>
        <w:t>. Назва та місцезнаходження власника реєстраційного посвідчення</w:t>
      </w:r>
    </w:p>
    <w:tbl>
      <w:tblPr>
        <w:tblW w:w="7566" w:type="dxa"/>
        <w:tblInd w:w="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625"/>
      </w:tblGrid>
      <w:tr w:rsidR="00950B90" w:rsidRPr="00950B90" w14:paraId="7054A2E7" w14:textId="77777777">
        <w:tc>
          <w:tcPr>
            <w:tcW w:w="3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E3F6" w14:textId="77777777" w:rsidR="007A6496" w:rsidRPr="00950B90" w:rsidRDefault="00DD4FCB">
            <w:pPr>
              <w:pStyle w:val="TableContents"/>
              <w:rPr>
                <w:rFonts w:ascii="Times New Roman" w:eastAsia="Calibri" w:hAnsi="Times New Roman" w:cs="Times New Roman"/>
                <w:lang w:val="uk-UA"/>
              </w:rPr>
            </w:pPr>
            <w:r w:rsidRPr="00950B90">
              <w:rPr>
                <w:rFonts w:ascii="Times New Roman" w:eastAsia="Calibri" w:hAnsi="Times New Roman" w:cs="Times New Roman"/>
                <w:lang w:val="uk-UA"/>
              </w:rPr>
              <w:t>АЛКЕ Саглік Юрюнлері Сан. Ве Тік. А.С.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br/>
              <w:t xml:space="preserve">Сараїцедіт Мх. Батман Ск. Роял Плаза №18/6 Кадікьої, </w:t>
            </w:r>
            <w:r w:rsidRPr="00950B90">
              <w:rPr>
                <w:rFonts w:ascii="Times New Roman" w:eastAsia="Calibri" w:hAnsi="Times New Roman" w:cs="Times New Roman"/>
              </w:rPr>
              <w:t>Стамбул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,  Туреччина</w:t>
            </w:r>
          </w:p>
        </w:tc>
        <w:tc>
          <w:tcPr>
            <w:tcW w:w="36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C23A5" w14:textId="77777777" w:rsidR="007A6496" w:rsidRPr="00950B90" w:rsidRDefault="00DD4FCB">
            <w:pPr>
              <w:pStyle w:val="TableContents"/>
              <w:rPr>
                <w:rFonts w:ascii="Times New Roman" w:eastAsia="Calibri" w:hAnsi="Times New Roman" w:cs="Times New Roman"/>
                <w:lang w:val="en-US"/>
              </w:rPr>
            </w:pPr>
            <w:r w:rsidRPr="00950B90">
              <w:rPr>
                <w:rFonts w:ascii="Times New Roman" w:eastAsia="Calibri" w:hAnsi="Times New Roman" w:cs="Times New Roman"/>
                <w:lang w:val="en-US"/>
              </w:rPr>
              <w:t>ALKE SAĞLIK ÜRÜNLERİ SAN. VE TİC. A.Ş.</w:t>
            </w:r>
          </w:p>
          <w:p w14:paraId="7D102B28" w14:textId="77777777" w:rsidR="007A6496" w:rsidRPr="00950B90" w:rsidRDefault="00DD4FCB">
            <w:pPr>
              <w:pStyle w:val="TableContents"/>
              <w:rPr>
                <w:rFonts w:ascii="Times New Roman" w:eastAsia="Calibri" w:hAnsi="Times New Roman" w:cs="Times New Roman"/>
                <w:lang w:val="en-US"/>
              </w:rPr>
            </w:pPr>
            <w:r w:rsidRPr="00950B90">
              <w:rPr>
                <w:rFonts w:ascii="Times New Roman" w:eastAsia="Calibri" w:hAnsi="Times New Roman" w:cs="Times New Roman"/>
                <w:lang w:val="en-US"/>
              </w:rPr>
              <w:t>Sahrayıcedit Mh. Batman Sk. Royal Plaza No:18/6 Kadıköy/İSTANBUL, TURKEY</w:t>
            </w:r>
          </w:p>
        </w:tc>
      </w:tr>
    </w:tbl>
    <w:p w14:paraId="79FA5E0B" w14:textId="77777777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8.</w:t>
      </w:r>
      <w:r w:rsidRPr="00950B90">
        <w:rPr>
          <w:rFonts w:ascii="Times New Roman" w:hAnsi="Times New Roman" w:cs="Times New Roman"/>
          <w:b/>
          <w:color w:val="auto"/>
        </w:rPr>
        <w:t xml:space="preserve"> Назва та місцезнаходження </w:t>
      </w:r>
      <w:r w:rsidRPr="00950B90">
        <w:rPr>
          <w:rFonts w:ascii="Times New Roman" w:hAnsi="Times New Roman" w:cs="Times New Roman"/>
          <w:b/>
          <w:color w:val="auto"/>
          <w:lang w:val="uk-UA"/>
        </w:rPr>
        <w:t>готового продукту</w:t>
      </w:r>
    </w:p>
    <w:tbl>
      <w:tblPr>
        <w:tblW w:w="7541" w:type="dxa"/>
        <w:tblInd w:w="1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3641"/>
      </w:tblGrid>
      <w:tr w:rsidR="00950B90" w:rsidRPr="00950B90" w14:paraId="6672CEB0" w14:textId="77777777">
        <w:tc>
          <w:tcPr>
            <w:tcW w:w="3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BC04" w14:textId="7D1A78FA" w:rsidR="007A6496" w:rsidRPr="00950B90" w:rsidRDefault="00DD4FCB" w:rsidP="00E87264">
            <w:pPr>
              <w:pStyle w:val="TableContents"/>
              <w:rPr>
                <w:rFonts w:ascii="Times New Roman" w:eastAsia="Calibri" w:hAnsi="Times New Roman" w:cs="Times New Roman"/>
                <w:lang w:val="uk-UA"/>
              </w:rPr>
            </w:pPr>
            <w:r w:rsidRPr="00950B90">
              <w:rPr>
                <w:rFonts w:ascii="Times New Roman" w:eastAsia="Calibri" w:hAnsi="Times New Roman" w:cs="Times New Roman"/>
                <w:lang w:val="uk-UA"/>
              </w:rPr>
              <w:t>АЛКЕ Саглік Юрюнлері Сан. Ве Тік. А.С.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br/>
              <w:t>Меркез Організе Санаї Бьолгезі 2. Кісім 10. Каде №7</w:t>
            </w:r>
            <w:r w:rsidR="00E87264" w:rsidRPr="00950B90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Токат, 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br/>
              <w:t>Туреччина</w:t>
            </w:r>
          </w:p>
        </w:tc>
        <w:tc>
          <w:tcPr>
            <w:tcW w:w="3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AE35" w14:textId="77777777" w:rsidR="007A6496" w:rsidRPr="00950B90" w:rsidRDefault="00DD4FCB">
            <w:pPr>
              <w:pStyle w:val="TableContents"/>
              <w:rPr>
                <w:rFonts w:ascii="Times New Roman" w:eastAsia="Calibri" w:hAnsi="Times New Roman" w:cs="Times New Roman"/>
                <w:lang w:val="uk-UA"/>
              </w:rPr>
            </w:pPr>
            <w:r w:rsidRPr="00950B90">
              <w:rPr>
                <w:rFonts w:ascii="Times New Roman" w:eastAsia="Calibri" w:hAnsi="Times New Roman" w:cs="Times New Roman"/>
                <w:lang w:val="en-US"/>
              </w:rPr>
              <w:t>ALKE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SA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Ğ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LIK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Ü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Ü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NLER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İ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SAN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VE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İ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.Ş</w:t>
            </w:r>
          </w:p>
          <w:p w14:paraId="4E030F67" w14:textId="77777777" w:rsidR="007A6496" w:rsidRPr="00950B90" w:rsidRDefault="00DD4FCB">
            <w:pPr>
              <w:pStyle w:val="TableContents"/>
              <w:rPr>
                <w:rFonts w:ascii="Times New Roman" w:eastAsia="Calibri" w:hAnsi="Times New Roman" w:cs="Times New Roman"/>
                <w:lang w:val="uk-UA"/>
              </w:rPr>
            </w:pPr>
            <w:r w:rsidRPr="00950B90">
              <w:rPr>
                <w:rFonts w:ascii="Times New Roman" w:eastAsia="Calibri" w:hAnsi="Times New Roman" w:cs="Times New Roman"/>
                <w:lang w:val="en-US"/>
              </w:rPr>
              <w:t>Merkez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Organize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Sanayi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ö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lgesi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2.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ı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>ı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10.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Cadde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:7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Tokat</w:t>
            </w:r>
            <w:r w:rsidRPr="00950B90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Pr="00950B90">
              <w:rPr>
                <w:rFonts w:ascii="Times New Roman" w:eastAsia="Calibri" w:hAnsi="Times New Roman" w:cs="Times New Roman"/>
                <w:lang w:val="en-US"/>
              </w:rPr>
              <w:t>TURKEY</w:t>
            </w:r>
          </w:p>
        </w:tc>
      </w:tr>
    </w:tbl>
    <w:p w14:paraId="5D7021D5" w14:textId="77777777" w:rsidR="007A6496" w:rsidRPr="00950B90" w:rsidRDefault="00DD4FCB">
      <w:pPr>
        <w:pStyle w:val="Default"/>
        <w:rPr>
          <w:color w:val="auto"/>
        </w:rPr>
      </w:pPr>
      <w:r w:rsidRPr="00950B90">
        <w:rPr>
          <w:rFonts w:ascii="Times New Roman" w:hAnsi="Times New Roman" w:cs="Times New Roman"/>
          <w:b/>
          <w:color w:val="auto"/>
          <w:lang w:val="uk-UA"/>
        </w:rPr>
        <w:tab/>
        <w:t>9. Додаткова інфор</w:t>
      </w:r>
      <w:r w:rsidRPr="00950B90">
        <w:rPr>
          <w:rFonts w:ascii="Times New Roman" w:hAnsi="Times New Roman" w:cs="Times New Roman"/>
          <w:b/>
          <w:color w:val="auto"/>
        </w:rPr>
        <w:t>мація</w:t>
      </w:r>
    </w:p>
    <w:p w14:paraId="5F258245" w14:textId="77777777" w:rsidR="007A6496" w:rsidRPr="00950B90" w:rsidRDefault="007A6496">
      <w:pPr>
        <w:pStyle w:val="Standard"/>
        <w:rPr>
          <w:rFonts w:ascii="Times New Roman" w:eastAsia="Times New Roman" w:hAnsi="Times New Roman" w:cs="Times New Roman"/>
          <w:lang w:val="uk-UA"/>
        </w:rPr>
      </w:pPr>
    </w:p>
    <w:bookmarkEnd w:id="0"/>
    <w:p w14:paraId="3D037BB1" w14:textId="77777777" w:rsidR="007A6496" w:rsidRPr="00950B90" w:rsidRDefault="007A6496">
      <w:pPr>
        <w:pStyle w:val="Standard"/>
        <w:rPr>
          <w:rFonts w:ascii="Times New Roman" w:eastAsia="Times New Roman" w:hAnsi="Times New Roman" w:cs="Times New Roman"/>
          <w:lang w:val="uk-UA"/>
        </w:rPr>
      </w:pPr>
    </w:p>
    <w:sectPr w:rsidR="007A6496" w:rsidRPr="00950B90" w:rsidSect="0084499D">
      <w:footerReference w:type="default" r:id="rId7"/>
      <w:pgSz w:w="11906" w:h="16838"/>
      <w:pgMar w:top="851" w:right="454" w:bottom="45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24CF" w14:textId="77777777" w:rsidR="00554A94" w:rsidRDefault="00554A94">
      <w:r>
        <w:separator/>
      </w:r>
    </w:p>
  </w:endnote>
  <w:endnote w:type="continuationSeparator" w:id="0">
    <w:p w14:paraId="71942DA0" w14:textId="77777777" w:rsidR="00554A94" w:rsidRDefault="005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529428"/>
      <w:docPartObj>
        <w:docPartGallery w:val="Page Numbers (Bottom of Page)"/>
        <w:docPartUnique/>
      </w:docPartObj>
    </w:sdtPr>
    <w:sdtEndPr/>
    <w:sdtContent>
      <w:p w14:paraId="68DE5FB7" w14:textId="352DEBDE" w:rsidR="00AA1349" w:rsidRDefault="00AA13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90">
          <w:rPr>
            <w:noProof/>
          </w:rPr>
          <w:t>1</w:t>
        </w:r>
        <w:r>
          <w:fldChar w:fldCharType="end"/>
        </w:r>
      </w:p>
    </w:sdtContent>
  </w:sdt>
  <w:p w14:paraId="412D2AA3" w14:textId="77777777" w:rsidR="00AA1349" w:rsidRDefault="00AA13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2BDE" w14:textId="77777777" w:rsidR="00554A94" w:rsidRDefault="00554A94">
      <w:r>
        <w:rPr>
          <w:color w:val="000000"/>
        </w:rPr>
        <w:separator/>
      </w:r>
    </w:p>
  </w:footnote>
  <w:footnote w:type="continuationSeparator" w:id="0">
    <w:p w14:paraId="178F9782" w14:textId="77777777" w:rsidR="00554A94" w:rsidRDefault="005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6"/>
    <w:rsid w:val="00101357"/>
    <w:rsid w:val="00114EA6"/>
    <w:rsid w:val="001F49DE"/>
    <w:rsid w:val="002A4110"/>
    <w:rsid w:val="0031366D"/>
    <w:rsid w:val="00411B2A"/>
    <w:rsid w:val="0042476B"/>
    <w:rsid w:val="00534711"/>
    <w:rsid w:val="00554A94"/>
    <w:rsid w:val="005C22A1"/>
    <w:rsid w:val="005E5736"/>
    <w:rsid w:val="005E5862"/>
    <w:rsid w:val="00675A92"/>
    <w:rsid w:val="006F63FC"/>
    <w:rsid w:val="006F79BE"/>
    <w:rsid w:val="00736A20"/>
    <w:rsid w:val="007A6496"/>
    <w:rsid w:val="007C7F77"/>
    <w:rsid w:val="007E6ED2"/>
    <w:rsid w:val="0084499D"/>
    <w:rsid w:val="008855E1"/>
    <w:rsid w:val="008C390B"/>
    <w:rsid w:val="00932D07"/>
    <w:rsid w:val="00950B90"/>
    <w:rsid w:val="00984E3B"/>
    <w:rsid w:val="009A50FF"/>
    <w:rsid w:val="009B4B43"/>
    <w:rsid w:val="009F3A81"/>
    <w:rsid w:val="00A34B03"/>
    <w:rsid w:val="00A75483"/>
    <w:rsid w:val="00A83F06"/>
    <w:rsid w:val="00AA1349"/>
    <w:rsid w:val="00B704D8"/>
    <w:rsid w:val="00BA05EA"/>
    <w:rsid w:val="00C965C3"/>
    <w:rsid w:val="00CB2799"/>
    <w:rsid w:val="00CD25E1"/>
    <w:rsid w:val="00D21E5F"/>
    <w:rsid w:val="00DB46E0"/>
    <w:rsid w:val="00DC3AB9"/>
    <w:rsid w:val="00DD4FCB"/>
    <w:rsid w:val="00E55E02"/>
    <w:rsid w:val="00E87264"/>
    <w:rsid w:val="00E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609B"/>
  <w15:docId w15:val="{5168EF97-54A7-40AD-BEBD-E1F622D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757" w:hanging="406"/>
    </w:pPr>
    <w:rPr>
      <w:rFonts w:ascii="Malgun Gothic" w:eastAsia="Malgun Gothic" w:hAnsi="Malgun Gothic" w:cs="Malgun Gothic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B43"/>
    <w:rPr>
      <w:rFonts w:ascii="Tahoma" w:hAnsi="Tahoma" w:cs="Mangal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4B43"/>
    <w:rPr>
      <w:rFonts w:ascii="Tahoma" w:hAnsi="Tahoma" w:cs="Mangal"/>
      <w:sz w:val="16"/>
      <w:szCs w:val="14"/>
    </w:rPr>
  </w:style>
  <w:style w:type="paragraph" w:styleId="a8">
    <w:name w:val="header"/>
    <w:basedOn w:val="a"/>
    <w:link w:val="a9"/>
    <w:uiPriority w:val="99"/>
    <w:unhideWhenUsed/>
    <w:rsid w:val="00AA13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AA134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AA13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AA13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F6CC-5D05-4CF3-90F3-A2AF769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Рий Артем</dc:creator>
  <cp:lastModifiedBy>admin</cp:lastModifiedBy>
  <cp:revision>28</cp:revision>
  <dcterms:created xsi:type="dcterms:W3CDTF">2024-02-23T11:40:00Z</dcterms:created>
  <dcterms:modified xsi:type="dcterms:W3CDTF">2024-12-03T09:44:00Z</dcterms:modified>
</cp:coreProperties>
</file>