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7F" w:rsidRPr="00DB74D7" w:rsidRDefault="00723A7F" w:rsidP="00723A7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Коротка характеристика препарату</w:t>
      </w:r>
    </w:p>
    <w:p w:rsidR="00723A7F" w:rsidRPr="00DB74D7" w:rsidRDefault="00723A7F" w:rsidP="00723A7F">
      <w:pPr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 </w:t>
      </w:r>
    </w:p>
    <w:p w:rsidR="00723A7F" w:rsidRPr="00DB74D7" w:rsidRDefault="00723A7F" w:rsidP="00723A7F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</w:t>
      </w:r>
    </w:p>
    <w:bookmarkEnd w:id="0"/>
    <w:p w:rsidR="00723A7F" w:rsidRPr="00DB74D7" w:rsidRDefault="00723A7F" w:rsidP="00723A7F">
      <w:pPr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Склад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1 мл препарату містить активнодіючу речовину: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натрію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нуклеїнат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мг.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hAnsi="Times New Roman" w:cs="Times New Roman"/>
          <w:sz w:val="24"/>
          <w:szCs w:val="24"/>
        </w:rPr>
        <w:t xml:space="preserve">Допоміжні речовини: комплекс біологічно активних речовин (Середовище 199), натрію гідрокарбонат, </w:t>
      </w:r>
      <w:proofErr w:type="spellStart"/>
      <w:r w:rsidRPr="00DB74D7">
        <w:rPr>
          <w:rFonts w:ascii="Times New Roman" w:hAnsi="Times New Roman" w:cs="Times New Roman"/>
          <w:sz w:val="24"/>
          <w:szCs w:val="24"/>
        </w:rPr>
        <w:t>метилпарабен</w:t>
      </w:r>
      <w:proofErr w:type="spellEnd"/>
      <w:r w:rsidRPr="00DB7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74D7">
        <w:rPr>
          <w:rFonts w:ascii="Times New Roman" w:hAnsi="Times New Roman" w:cs="Times New Roman"/>
          <w:sz w:val="24"/>
          <w:szCs w:val="24"/>
        </w:rPr>
        <w:t>пропілпарабен</w:t>
      </w:r>
      <w:proofErr w:type="spellEnd"/>
      <w:r w:rsidRPr="00DB7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74D7">
        <w:rPr>
          <w:rFonts w:ascii="Times New Roman" w:hAnsi="Times New Roman" w:cs="Times New Roman"/>
          <w:sz w:val="24"/>
          <w:szCs w:val="24"/>
        </w:rPr>
        <w:t>пропіленгліколь</w:t>
      </w:r>
      <w:proofErr w:type="spellEnd"/>
      <w:r w:rsidRPr="00DB74D7">
        <w:rPr>
          <w:rFonts w:ascii="Times New Roman" w:hAnsi="Times New Roman" w:cs="Times New Roman"/>
          <w:sz w:val="24"/>
          <w:szCs w:val="24"/>
        </w:rPr>
        <w:t>, вода для ін’єкцій</w:t>
      </w:r>
    </w:p>
    <w:p w:rsidR="00723A7F" w:rsidRPr="00DB74D7" w:rsidRDefault="00723A7F" w:rsidP="00723A7F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Фармацевтична форма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 для ін’єкцій.</w:t>
      </w:r>
    </w:p>
    <w:p w:rsidR="00723A7F" w:rsidRPr="00DB74D7" w:rsidRDefault="00723A7F" w:rsidP="00723A7F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Фармакологічні властивості</w:t>
      </w:r>
      <w:bookmarkStart w:id="1" w:name="44"/>
      <w:bookmarkEnd w:id="1"/>
    </w:p>
    <w:p w:rsidR="00F90D44" w:rsidRPr="00DB74D7" w:rsidRDefault="00F90D44" w:rsidP="00F90D44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ATC-</w:t>
      </w:r>
      <w:proofErr w:type="spellStart"/>
      <w:r w:rsidRPr="00DB74D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vet</w:t>
      </w:r>
      <w:proofErr w:type="spellEnd"/>
      <w:r w:rsidRPr="00DB74D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класифікаційний код: QL03 </w:t>
      </w:r>
      <w:proofErr w:type="spellStart"/>
      <w:r w:rsidRPr="00DB74D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Імуностимулятори</w:t>
      </w:r>
      <w:proofErr w:type="spellEnd"/>
      <w:r w:rsidRPr="00DB74D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F90D44" w:rsidRPr="00DB74D7" w:rsidRDefault="00F90D44" w:rsidP="00F90D4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Препарат має адаптогенну, </w:t>
      </w:r>
      <w:proofErr w:type="spellStart"/>
      <w:r w:rsidRPr="00DB74D7">
        <w:rPr>
          <w:rFonts w:ascii="Times New Roman" w:eastAsia="Times New Roman" w:hAnsi="Times New Roman"/>
          <w:sz w:val="24"/>
          <w:szCs w:val="24"/>
          <w:lang w:eastAsia="ru-RU"/>
        </w:rPr>
        <w:t>імуностимулюючу</w:t>
      </w:r>
      <w:proofErr w:type="spellEnd"/>
      <w:r w:rsidRPr="00DB74D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B74D7">
        <w:rPr>
          <w:rFonts w:ascii="Times New Roman" w:eastAsia="Times New Roman" w:hAnsi="Times New Roman"/>
          <w:sz w:val="24"/>
          <w:szCs w:val="24"/>
          <w:lang w:eastAsia="ru-RU"/>
        </w:rPr>
        <w:t>загальнотонізуючу</w:t>
      </w:r>
      <w:proofErr w:type="spellEnd"/>
      <w:r w:rsidRPr="00DB74D7">
        <w:rPr>
          <w:rFonts w:ascii="Times New Roman" w:eastAsia="Times New Roman" w:hAnsi="Times New Roman"/>
          <w:sz w:val="24"/>
          <w:szCs w:val="24"/>
          <w:lang w:eastAsia="ru-RU"/>
        </w:rPr>
        <w:t xml:space="preserve"> дію; покращує обмін речовин, клітинний обмін, регенерацію тканин, завдяки наявності у складі препарату натрію </w:t>
      </w:r>
      <w:proofErr w:type="spellStart"/>
      <w:r w:rsidRPr="00DB74D7">
        <w:rPr>
          <w:rFonts w:ascii="Times New Roman" w:eastAsia="Times New Roman" w:hAnsi="Times New Roman"/>
          <w:sz w:val="24"/>
          <w:szCs w:val="24"/>
          <w:lang w:eastAsia="ru-RU"/>
        </w:rPr>
        <w:t>нуклеїнату</w:t>
      </w:r>
      <w:proofErr w:type="spellEnd"/>
      <w:r w:rsidRPr="00DB74D7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збалансованого комплексу мінеральних речовин, амінокислот та вітамінів. </w:t>
      </w:r>
    </w:p>
    <w:p w:rsidR="00F90D44" w:rsidRPr="00DB74D7" w:rsidRDefault="00F90D44" w:rsidP="00F90D4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B74D7">
        <w:rPr>
          <w:rFonts w:ascii="Times New Roman" w:eastAsia="Arial Unicode MS" w:hAnsi="Times New Roman"/>
          <w:i/>
          <w:sz w:val="24"/>
          <w:szCs w:val="24"/>
          <w:lang w:eastAsia="ru-RU"/>
        </w:rPr>
        <w:t>Натрі</w:t>
      </w:r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>ю</w:t>
      </w:r>
      <w:r w:rsidRPr="00DB74D7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DB74D7">
        <w:rPr>
          <w:rFonts w:ascii="Times New Roman" w:eastAsia="Arial Unicode MS" w:hAnsi="Times New Roman"/>
          <w:i/>
          <w:sz w:val="24"/>
          <w:szCs w:val="24"/>
          <w:lang w:eastAsia="ru-RU"/>
        </w:rPr>
        <w:t>нуклеїнат</w:t>
      </w:r>
      <w:proofErr w:type="spellEnd"/>
      <w:r w:rsidRPr="00DB74D7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</w:t>
      </w:r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>є індуктором лейкоцитарної реакції, стимулятором внутрішньоклітинного метаболізму, нуклеїнового обміну в організмі тварин, особливо за послабленого імунітету. Має протизапальну активність, пригнічує підвищену агрегацію тромбоцитів.</w:t>
      </w:r>
    </w:p>
    <w:p w:rsidR="00F90D44" w:rsidRPr="00DB74D7" w:rsidRDefault="00F90D44" w:rsidP="00F90D4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 xml:space="preserve">В основі </w:t>
      </w:r>
      <w:proofErr w:type="spellStart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>фармакотерапевтичних</w:t>
      </w:r>
      <w:proofErr w:type="spellEnd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 xml:space="preserve"> ефектів натрію </w:t>
      </w:r>
      <w:proofErr w:type="spellStart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>нуклеїнату</w:t>
      </w:r>
      <w:proofErr w:type="spellEnd"/>
      <w:r w:rsidRPr="00DB74D7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</w:t>
      </w:r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 xml:space="preserve">лежать такі механізми: стимулювання процесів клітинного метаболізму, посилення біосинтезу ендогенних нуклеїнових кислот, специфічних протеїнів та ферментів; посилення мітотичної активності клітин кісткового мозку, прискорення процесів регенерації; підвищення енергозабезпечення клітини шляхом стимулювання синтезу </w:t>
      </w:r>
      <w:proofErr w:type="spellStart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>макроергічних</w:t>
      </w:r>
      <w:proofErr w:type="spellEnd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spellStart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>сполук</w:t>
      </w:r>
      <w:proofErr w:type="spellEnd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>, таких як АТФ; нормалізація NO-</w:t>
      </w:r>
      <w:proofErr w:type="spellStart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>синтазної</w:t>
      </w:r>
      <w:proofErr w:type="spellEnd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 xml:space="preserve"> активності, </w:t>
      </w:r>
      <w:proofErr w:type="spellStart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>інгібування</w:t>
      </w:r>
      <w:proofErr w:type="spellEnd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 xml:space="preserve"> окисних процесів у клітинних мембранах, стабілізація мембран клітин та оптимізація окисно-відновних процесів у тканинах; підвищення продукції інтерферону та стимулювання противірусного захисту; активація </w:t>
      </w:r>
      <w:proofErr w:type="spellStart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>гіпофізарно-наднирково-залозної</w:t>
      </w:r>
      <w:proofErr w:type="spellEnd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 xml:space="preserve"> системи зі збільшенням рівня ендогенних </w:t>
      </w:r>
      <w:proofErr w:type="spellStart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>глюкокортикоїдів</w:t>
      </w:r>
      <w:proofErr w:type="spellEnd"/>
      <w:r w:rsidRPr="00DB74D7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5.Клінічні особливості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 Вид тварин</w:t>
      </w:r>
    </w:p>
    <w:p w:rsidR="00F90D44" w:rsidRPr="00DB74D7" w:rsidRDefault="00F90D44" w:rsidP="00F90D44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Велика рогата худоба, коні, свині, собаки, коти, хутрові звірі та свійська птиця </w:t>
      </w:r>
      <w:r w:rsidRPr="00DB74D7">
        <w:rPr>
          <w:rFonts w:ascii="Times New Roman" w:hAnsi="Times New Roman"/>
          <w:sz w:val="24"/>
          <w:szCs w:val="24"/>
        </w:rPr>
        <w:t>(курчата, кури-несучки).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 Показання до застосування</w:t>
      </w:r>
    </w:p>
    <w:p w:rsidR="00723A7F" w:rsidRPr="00DB74D7" w:rsidRDefault="00F90D44" w:rsidP="00723A7F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4D7">
        <w:rPr>
          <w:rFonts w:ascii="Times New Roman" w:hAnsi="Times New Roman"/>
          <w:sz w:val="24"/>
          <w:szCs w:val="24"/>
        </w:rPr>
        <w:t xml:space="preserve">Препарат застосовують як тонізуючий засіб у комплексі терапевтичних заходів при лікуванні великої рогатої худоби, коней, свиней, хутрових звірів, собак, котів, свійської птиці (курчат, курей-несучок). Застосовують при анеміях, </w:t>
      </w:r>
      <w:proofErr w:type="spellStart"/>
      <w:r w:rsidRPr="00DB74D7">
        <w:rPr>
          <w:rFonts w:ascii="Times New Roman" w:hAnsi="Times New Roman"/>
          <w:sz w:val="24"/>
          <w:szCs w:val="24"/>
        </w:rPr>
        <w:t>гiповiтамiнозах</w:t>
      </w:r>
      <w:proofErr w:type="spellEnd"/>
      <w:r w:rsidRPr="00DB74D7">
        <w:rPr>
          <w:rFonts w:ascii="Times New Roman" w:hAnsi="Times New Roman"/>
          <w:sz w:val="24"/>
          <w:szCs w:val="24"/>
        </w:rPr>
        <w:t xml:space="preserve">, інфекційних та інвазійних захворюваннях, при захворюваннях репродуктивної системи, для стимуляції охоти, а також, при отруєннях, у </w:t>
      </w:r>
      <w:proofErr w:type="spellStart"/>
      <w:r w:rsidRPr="00DB74D7">
        <w:rPr>
          <w:rFonts w:ascii="Times New Roman" w:hAnsi="Times New Roman"/>
          <w:sz w:val="24"/>
          <w:szCs w:val="24"/>
        </w:rPr>
        <w:t>пiсляоперацiйний</w:t>
      </w:r>
      <w:proofErr w:type="spellEnd"/>
      <w:r w:rsidRPr="00DB74D7">
        <w:rPr>
          <w:rFonts w:ascii="Times New Roman" w:hAnsi="Times New Roman"/>
          <w:sz w:val="24"/>
          <w:szCs w:val="24"/>
        </w:rPr>
        <w:t xml:space="preserve"> період; з профілактичною метою, як </w:t>
      </w:r>
      <w:proofErr w:type="spellStart"/>
      <w:r w:rsidRPr="00DB74D7">
        <w:rPr>
          <w:rFonts w:ascii="Times New Roman" w:hAnsi="Times New Roman"/>
          <w:sz w:val="24"/>
          <w:szCs w:val="24"/>
        </w:rPr>
        <w:t>загальнозміцнюючий</w:t>
      </w:r>
      <w:proofErr w:type="spellEnd"/>
      <w:r w:rsidRPr="00DB74D7">
        <w:rPr>
          <w:rFonts w:ascii="Times New Roman" w:hAnsi="Times New Roman"/>
          <w:sz w:val="24"/>
          <w:szCs w:val="24"/>
        </w:rPr>
        <w:t xml:space="preserve"> засіб, під час підготовки тварин до виставок, змагань i транспортування. </w:t>
      </w:r>
      <w:r w:rsidRPr="00DB74D7">
        <w:rPr>
          <w:rFonts w:ascii="Times New Roman" w:eastAsia="Times New Roman" w:hAnsi="Times New Roman"/>
          <w:sz w:val="24"/>
          <w:szCs w:val="24"/>
          <w:lang w:eastAsia="ru-RU"/>
        </w:rPr>
        <w:t>Застосовують молодняку для покращення росту та розвитку, та виснаженим та ослабленим тваринам.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5.3 Протипоказання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Підвищена чутливість до компонентів препарату.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 Побічна дія</w:t>
      </w:r>
    </w:p>
    <w:p w:rsidR="00723A7F" w:rsidRPr="00DB74D7" w:rsidRDefault="00723A7F" w:rsidP="00723A7F">
      <w:pPr>
        <w:shd w:val="clear" w:color="auto" w:fill="FFFFFF"/>
        <w:tabs>
          <w:tab w:val="left" w:pos="26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5.5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Особливі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застереження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при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використанні</w:t>
      </w:r>
      <w:proofErr w:type="spellEnd"/>
    </w:p>
    <w:p w:rsidR="00723A7F" w:rsidRPr="00DB74D7" w:rsidRDefault="00723A7F" w:rsidP="00723A7F">
      <w:pPr>
        <w:shd w:val="clear" w:color="auto" w:fill="FFFFFF"/>
        <w:tabs>
          <w:tab w:val="left" w:pos="26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5.6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Використання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під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час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вагітності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лактації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несучості</w:t>
      </w:r>
      <w:proofErr w:type="spellEnd"/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Безпечний при використанні під </w:t>
      </w:r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час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вагітності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лактації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несучості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 Взаємодія з іншими засобами або інші форми взаємодії</w:t>
      </w:r>
    </w:p>
    <w:p w:rsidR="00723A7F" w:rsidRPr="00DB74D7" w:rsidRDefault="00723A7F" w:rsidP="00723A7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Несумісність з іншими лікарськими препаратами, кормами та кормовими добавками невідома.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5.8 Дози і способи введення тваринам різного віку</w:t>
      </w:r>
    </w:p>
    <w:p w:rsidR="00723A7F" w:rsidRPr="00DB74D7" w:rsidRDefault="00723A7F" w:rsidP="00723A7F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4D7">
        <w:rPr>
          <w:rFonts w:ascii="Times New Roman" w:hAnsi="Times New Roman" w:cs="Times New Roman"/>
          <w:sz w:val="24"/>
          <w:szCs w:val="24"/>
        </w:rPr>
        <w:t xml:space="preserve">При лікуванні та профілактиці великої рогатої худоби, коней, свиней препарат вводять підшкірно, </w:t>
      </w:r>
      <w:proofErr w:type="spellStart"/>
      <w:r w:rsidRPr="00DB74D7">
        <w:rPr>
          <w:rFonts w:ascii="Times New Roman" w:hAnsi="Times New Roman" w:cs="Times New Roman"/>
          <w:sz w:val="24"/>
          <w:szCs w:val="24"/>
        </w:rPr>
        <w:t>внутрiшньом’язово</w:t>
      </w:r>
      <w:proofErr w:type="spellEnd"/>
      <w:r w:rsidRPr="00DB7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74D7">
        <w:rPr>
          <w:rFonts w:ascii="Times New Roman" w:hAnsi="Times New Roman" w:cs="Times New Roman"/>
          <w:sz w:val="24"/>
          <w:szCs w:val="24"/>
        </w:rPr>
        <w:t>внутрiшньовенно</w:t>
      </w:r>
      <w:proofErr w:type="spellEnd"/>
      <w:r w:rsidRPr="00DB74D7">
        <w:rPr>
          <w:rFonts w:ascii="Times New Roman" w:hAnsi="Times New Roman" w:cs="Times New Roman"/>
          <w:sz w:val="24"/>
          <w:szCs w:val="24"/>
        </w:rPr>
        <w:t>. Можливе пероральне застосування із питною водою.</w:t>
      </w:r>
    </w:p>
    <w:p w:rsidR="00723A7F" w:rsidRPr="00DB74D7" w:rsidRDefault="00723A7F" w:rsidP="00723A7F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A7F" w:rsidRPr="00DB74D7" w:rsidRDefault="00723A7F" w:rsidP="00723A7F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A7F" w:rsidRPr="00DB74D7" w:rsidRDefault="00723A7F" w:rsidP="00723A7F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4D7">
        <w:rPr>
          <w:rFonts w:ascii="Times New Roman" w:hAnsi="Times New Roman" w:cs="Times New Roman"/>
          <w:b/>
          <w:sz w:val="24"/>
          <w:szCs w:val="24"/>
        </w:rPr>
        <w:t xml:space="preserve">Таблиця 1. Дозування </w:t>
      </w:r>
      <w:r w:rsidR="004D3E0D" w:rsidRPr="00DB74D7">
        <w:rPr>
          <w:rFonts w:ascii="Times New Roman" w:hAnsi="Times New Roman"/>
          <w:b/>
          <w:sz w:val="24"/>
          <w:szCs w:val="24"/>
        </w:rPr>
        <w:t>препарату</w:t>
      </w:r>
      <w:r w:rsidR="004D3E0D" w:rsidRPr="00DB7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4D7">
        <w:rPr>
          <w:rFonts w:ascii="Times New Roman" w:hAnsi="Times New Roman" w:cs="Times New Roman"/>
          <w:b/>
          <w:sz w:val="24"/>
          <w:szCs w:val="24"/>
        </w:rPr>
        <w:t>при лікуванні та профілактиці великої рогатої худоби, коней, свиней.</w:t>
      </w:r>
      <w:r w:rsidRPr="00DB74D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7"/>
        <w:tblW w:w="0" w:type="auto"/>
        <w:tblInd w:w="150" w:type="dxa"/>
        <w:tblLook w:val="04A0" w:firstRow="1" w:lastRow="0" w:firstColumn="1" w:lastColumn="0" w:noHBand="0" w:noVBand="1"/>
      </w:tblPr>
      <w:tblGrid>
        <w:gridCol w:w="1945"/>
        <w:gridCol w:w="2164"/>
        <w:gridCol w:w="2581"/>
        <w:gridCol w:w="3483"/>
      </w:tblGrid>
      <w:tr w:rsidR="00DB74D7" w:rsidRPr="00DB74D7" w:rsidTr="003E696C">
        <w:trPr>
          <w:trHeight w:val="272"/>
        </w:trPr>
        <w:tc>
          <w:tcPr>
            <w:tcW w:w="1945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b/>
                <w:sz w:val="24"/>
                <w:szCs w:val="24"/>
              </w:rPr>
              <w:t>Вікова група</w:t>
            </w:r>
          </w:p>
        </w:tc>
        <w:tc>
          <w:tcPr>
            <w:tcW w:w="2164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b/>
                <w:sz w:val="24"/>
                <w:szCs w:val="24"/>
              </w:rPr>
              <w:t>Вид обробки</w:t>
            </w:r>
          </w:p>
        </w:tc>
        <w:tc>
          <w:tcPr>
            <w:tcW w:w="2581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b/>
                <w:sz w:val="24"/>
                <w:szCs w:val="24"/>
              </w:rPr>
              <w:t>Доза препарату</w:t>
            </w:r>
          </w:p>
        </w:tc>
        <w:tc>
          <w:tcPr>
            <w:tcW w:w="3483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b/>
                <w:sz w:val="24"/>
                <w:szCs w:val="24"/>
              </w:rPr>
              <w:t>Курс лікування</w:t>
            </w:r>
          </w:p>
        </w:tc>
      </w:tr>
      <w:tr w:rsidR="00DB74D7" w:rsidRPr="00DB74D7" w:rsidTr="003E696C">
        <w:trPr>
          <w:trHeight w:val="558"/>
        </w:trPr>
        <w:tc>
          <w:tcPr>
            <w:tcW w:w="1945" w:type="dxa"/>
            <w:vMerge w:val="restart"/>
            <w:vAlign w:val="center"/>
          </w:tcPr>
          <w:p w:rsidR="00723A7F" w:rsidRPr="00DB74D7" w:rsidRDefault="00723A7F" w:rsidP="003E69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Молодняк</w:t>
            </w:r>
          </w:p>
        </w:tc>
        <w:tc>
          <w:tcPr>
            <w:tcW w:w="2164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2581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0,5-5,0 мл/голову</w:t>
            </w:r>
          </w:p>
        </w:tc>
        <w:tc>
          <w:tcPr>
            <w:tcW w:w="3483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1-2 рази інтервалом 24-48 годин</w:t>
            </w:r>
          </w:p>
        </w:tc>
      </w:tr>
      <w:tr w:rsidR="00DB74D7" w:rsidRPr="00DB74D7" w:rsidTr="003E696C">
        <w:trPr>
          <w:trHeight w:val="145"/>
        </w:trPr>
        <w:tc>
          <w:tcPr>
            <w:tcW w:w="1945" w:type="dxa"/>
            <w:vMerge/>
            <w:vAlign w:val="center"/>
          </w:tcPr>
          <w:p w:rsidR="00723A7F" w:rsidRPr="00DB74D7" w:rsidRDefault="00723A7F" w:rsidP="003E696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eastAsia="Calibri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2581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3,0-10,0 мл/голову</w:t>
            </w:r>
          </w:p>
        </w:tc>
        <w:tc>
          <w:tcPr>
            <w:tcW w:w="3483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2-5 разів з інтервалом 24-48 годин</w:t>
            </w:r>
          </w:p>
        </w:tc>
      </w:tr>
      <w:tr w:rsidR="00DB74D7" w:rsidRPr="00DB74D7" w:rsidTr="003E696C">
        <w:trPr>
          <w:trHeight w:val="543"/>
        </w:trPr>
        <w:tc>
          <w:tcPr>
            <w:tcW w:w="1945" w:type="dxa"/>
            <w:vMerge w:val="restart"/>
            <w:vAlign w:val="center"/>
          </w:tcPr>
          <w:p w:rsidR="00723A7F" w:rsidRPr="00DB74D7" w:rsidRDefault="00723A7F" w:rsidP="003E696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eastAsia="Calibri" w:hAnsi="Times New Roman" w:cs="Times New Roman"/>
                <w:sz w:val="24"/>
                <w:szCs w:val="24"/>
              </w:rPr>
              <w:t>Дорослі тварини</w:t>
            </w:r>
          </w:p>
          <w:p w:rsidR="00723A7F" w:rsidRPr="00DB74D7" w:rsidRDefault="00723A7F" w:rsidP="003E69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2581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3,0-5,0 мл/100 кг м.т.</w:t>
            </w:r>
          </w:p>
        </w:tc>
        <w:tc>
          <w:tcPr>
            <w:tcW w:w="3483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1-2 рази з інтервалом 24-48 годин</w:t>
            </w:r>
          </w:p>
        </w:tc>
      </w:tr>
      <w:tr w:rsidR="00DB74D7" w:rsidRPr="00DB74D7" w:rsidTr="003E696C">
        <w:trPr>
          <w:trHeight w:val="145"/>
        </w:trPr>
        <w:tc>
          <w:tcPr>
            <w:tcW w:w="1945" w:type="dxa"/>
            <w:vMerge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eastAsia="Calibri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2581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5,0-10,0 мл/100 кг м.т.</w:t>
            </w:r>
          </w:p>
        </w:tc>
        <w:tc>
          <w:tcPr>
            <w:tcW w:w="3483" w:type="dxa"/>
          </w:tcPr>
          <w:p w:rsidR="00723A7F" w:rsidRPr="00DB74D7" w:rsidRDefault="00723A7F" w:rsidP="003E696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2-5 разів з інтервалом 24-48 годин</w:t>
            </w:r>
          </w:p>
        </w:tc>
      </w:tr>
    </w:tbl>
    <w:p w:rsidR="00723A7F" w:rsidRPr="00DB74D7" w:rsidRDefault="00723A7F" w:rsidP="00723A7F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4D7">
        <w:rPr>
          <w:rFonts w:ascii="Times New Roman" w:hAnsi="Times New Roman" w:cs="Times New Roman"/>
          <w:sz w:val="24"/>
          <w:szCs w:val="24"/>
        </w:rPr>
        <w:t>Свійській птиці препарат застосовують перорально з питною водою.</w:t>
      </w:r>
    </w:p>
    <w:p w:rsidR="00723A7F" w:rsidRPr="00DB74D7" w:rsidRDefault="00723A7F" w:rsidP="00723A7F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4D7">
        <w:rPr>
          <w:rFonts w:ascii="Times New Roman" w:hAnsi="Times New Roman" w:cs="Times New Roman"/>
          <w:b/>
          <w:sz w:val="24"/>
          <w:szCs w:val="24"/>
        </w:rPr>
        <w:t xml:space="preserve">Таблиця 2. </w:t>
      </w:r>
      <w:r w:rsidR="004D3E0D" w:rsidRPr="00DB74D7">
        <w:rPr>
          <w:rFonts w:ascii="Times New Roman" w:hAnsi="Times New Roman"/>
          <w:b/>
          <w:sz w:val="24"/>
          <w:szCs w:val="24"/>
        </w:rPr>
        <w:t>Таблиця 2. Дозування препарату при застосуванні свійській птиці</w:t>
      </w:r>
      <w:r w:rsidR="004D3E0D" w:rsidRPr="00DB74D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Normal"/>
        <w:tblW w:w="1020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3955"/>
        <w:gridCol w:w="2586"/>
        <w:gridCol w:w="3665"/>
      </w:tblGrid>
      <w:tr w:rsidR="00DB74D7" w:rsidRPr="00DB74D7" w:rsidTr="003E696C">
        <w:trPr>
          <w:trHeight w:val="1090"/>
        </w:trPr>
        <w:tc>
          <w:tcPr>
            <w:tcW w:w="3955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vAlign w:val="center"/>
          </w:tcPr>
          <w:p w:rsidR="00723A7F" w:rsidRPr="00DB74D7" w:rsidRDefault="00723A7F" w:rsidP="003E69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b/>
                <w:sz w:val="24"/>
                <w:szCs w:val="24"/>
              </w:rPr>
              <w:t>Призначення</w:t>
            </w:r>
          </w:p>
        </w:tc>
        <w:tc>
          <w:tcPr>
            <w:tcW w:w="2586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vAlign w:val="center"/>
          </w:tcPr>
          <w:p w:rsidR="00723A7F" w:rsidRPr="00DB74D7" w:rsidRDefault="00723A7F" w:rsidP="003E69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b/>
                <w:sz w:val="24"/>
                <w:szCs w:val="24"/>
              </w:rPr>
              <w:t>Доза препарату</w:t>
            </w:r>
          </w:p>
        </w:tc>
        <w:tc>
          <w:tcPr>
            <w:tcW w:w="3665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vAlign w:val="center"/>
          </w:tcPr>
          <w:p w:rsidR="00723A7F" w:rsidRPr="00DB74D7" w:rsidRDefault="00723A7F" w:rsidP="003E69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b/>
                <w:sz w:val="24"/>
                <w:szCs w:val="24"/>
              </w:rPr>
              <w:t>Курс введення</w:t>
            </w:r>
          </w:p>
        </w:tc>
      </w:tr>
      <w:tr w:rsidR="00DB74D7" w:rsidRPr="00DB74D7" w:rsidTr="003E696C">
        <w:trPr>
          <w:trHeight w:val="779"/>
        </w:trPr>
        <w:tc>
          <w:tcPr>
            <w:tcW w:w="3955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vAlign w:val="center"/>
          </w:tcPr>
          <w:p w:rsidR="00723A7F" w:rsidRPr="00DB74D7" w:rsidRDefault="00723A7F" w:rsidP="003E69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Курям-несучкам для підвищення несучості та збільшення маси яєць</w:t>
            </w:r>
          </w:p>
        </w:tc>
        <w:tc>
          <w:tcPr>
            <w:tcW w:w="2586" w:type="dxa"/>
            <w:vMerge w:val="restart"/>
            <w:tcBorders>
              <w:top w:val="single" w:sz="4" w:space="0" w:color="77787B"/>
              <w:left w:val="single" w:sz="4" w:space="0" w:color="77787B"/>
              <w:right w:val="single" w:sz="4" w:space="0" w:color="77787B"/>
            </w:tcBorders>
            <w:vAlign w:val="center"/>
          </w:tcPr>
          <w:p w:rsidR="00723A7F" w:rsidRPr="00DB74D7" w:rsidRDefault="00723A7F" w:rsidP="003E69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Перорально з питною водою, 5 - 50 мл/л води</w:t>
            </w:r>
          </w:p>
        </w:tc>
        <w:tc>
          <w:tcPr>
            <w:tcW w:w="3665" w:type="dxa"/>
            <w:vMerge w:val="restart"/>
            <w:tcBorders>
              <w:top w:val="single" w:sz="4" w:space="0" w:color="77787B"/>
              <w:left w:val="single" w:sz="4" w:space="0" w:color="77787B"/>
              <w:right w:val="single" w:sz="4" w:space="0" w:color="77787B"/>
            </w:tcBorders>
            <w:vAlign w:val="center"/>
          </w:tcPr>
          <w:p w:rsidR="00723A7F" w:rsidRPr="00DB74D7" w:rsidRDefault="00723A7F" w:rsidP="003E69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 xml:space="preserve">Робочим розчином заповнюють поїлку з розрахунку 2-х годинної потреби у воді. Випоюють впродовж 2-х годин 1 раз на добу 4-5 </w:t>
            </w:r>
            <w:r w:rsidR="004D3E0D" w:rsidRPr="00DB74D7">
              <w:rPr>
                <w:rFonts w:ascii="Times New Roman" w:hAnsi="Times New Roman" w:cs="Times New Roman"/>
                <w:sz w:val="24"/>
                <w:szCs w:val="24"/>
              </w:rPr>
              <w:t>діб</w:t>
            </w: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 xml:space="preserve"> поспіль.</w:t>
            </w:r>
          </w:p>
          <w:p w:rsidR="00723A7F" w:rsidRPr="00DB74D7" w:rsidRDefault="00723A7F" w:rsidP="003E69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Перед випоюванням препарату птицю витримують без води протягом 1 години.</w:t>
            </w:r>
          </w:p>
        </w:tc>
      </w:tr>
      <w:tr w:rsidR="00DB74D7" w:rsidRPr="00DB74D7" w:rsidTr="003E696C">
        <w:trPr>
          <w:trHeight w:val="779"/>
        </w:trPr>
        <w:tc>
          <w:tcPr>
            <w:tcW w:w="3955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vAlign w:val="center"/>
          </w:tcPr>
          <w:p w:rsidR="00723A7F" w:rsidRPr="00DB74D7" w:rsidRDefault="00723A7F" w:rsidP="003E69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Для збереженості добових курчат</w:t>
            </w:r>
          </w:p>
        </w:tc>
        <w:tc>
          <w:tcPr>
            <w:tcW w:w="2586" w:type="dxa"/>
            <w:vMerge/>
            <w:tcBorders>
              <w:left w:val="single" w:sz="4" w:space="0" w:color="77787B"/>
              <w:right w:val="single" w:sz="4" w:space="0" w:color="77787B"/>
            </w:tcBorders>
            <w:vAlign w:val="center"/>
          </w:tcPr>
          <w:p w:rsidR="00723A7F" w:rsidRPr="00DB74D7" w:rsidRDefault="00723A7F" w:rsidP="003E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77787B"/>
              <w:right w:val="single" w:sz="4" w:space="0" w:color="77787B"/>
            </w:tcBorders>
            <w:vAlign w:val="center"/>
          </w:tcPr>
          <w:p w:rsidR="00723A7F" w:rsidRPr="00DB74D7" w:rsidRDefault="00723A7F" w:rsidP="003E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D7" w:rsidRPr="00DB74D7" w:rsidTr="003E696C">
        <w:trPr>
          <w:trHeight w:val="779"/>
        </w:trPr>
        <w:tc>
          <w:tcPr>
            <w:tcW w:w="3955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vAlign w:val="center"/>
          </w:tcPr>
          <w:p w:rsidR="00723A7F" w:rsidRPr="00DB74D7" w:rsidRDefault="00723A7F" w:rsidP="003E69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4D7">
              <w:rPr>
                <w:rFonts w:ascii="Times New Roman" w:hAnsi="Times New Roman" w:cs="Times New Roman"/>
                <w:sz w:val="24"/>
                <w:szCs w:val="24"/>
              </w:rPr>
              <w:t>Для підвищення приростів маси тіла курчат-бройлерів</w:t>
            </w:r>
          </w:p>
        </w:tc>
        <w:tc>
          <w:tcPr>
            <w:tcW w:w="2586" w:type="dxa"/>
            <w:vMerge/>
            <w:tcBorders>
              <w:left w:val="single" w:sz="4" w:space="0" w:color="77787B"/>
              <w:bottom w:val="single" w:sz="4" w:space="0" w:color="77787B"/>
              <w:right w:val="single" w:sz="4" w:space="0" w:color="77787B"/>
            </w:tcBorders>
            <w:vAlign w:val="center"/>
          </w:tcPr>
          <w:p w:rsidR="00723A7F" w:rsidRPr="00DB74D7" w:rsidRDefault="00723A7F" w:rsidP="003E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77787B"/>
              <w:bottom w:val="single" w:sz="4" w:space="0" w:color="77787B"/>
              <w:right w:val="single" w:sz="4" w:space="0" w:color="77787B"/>
            </w:tcBorders>
            <w:vAlign w:val="center"/>
          </w:tcPr>
          <w:p w:rsidR="00723A7F" w:rsidRPr="00DB74D7" w:rsidRDefault="00723A7F" w:rsidP="003E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A7F" w:rsidRPr="00DB74D7" w:rsidRDefault="00723A7F" w:rsidP="00723A7F">
      <w:pPr>
        <w:widowControl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4D7">
        <w:rPr>
          <w:rFonts w:ascii="Times New Roman" w:hAnsi="Times New Roman" w:cs="Times New Roman"/>
          <w:sz w:val="24"/>
          <w:szCs w:val="24"/>
        </w:rPr>
        <w:t xml:space="preserve">При лікуванні та профілактиці собак, котів, хутрових звірів препарат вводять підшкірно або </w:t>
      </w:r>
      <w:proofErr w:type="spellStart"/>
      <w:r w:rsidRPr="00DB74D7">
        <w:rPr>
          <w:rFonts w:ascii="Times New Roman" w:hAnsi="Times New Roman" w:cs="Times New Roman"/>
          <w:sz w:val="24"/>
          <w:szCs w:val="24"/>
        </w:rPr>
        <w:t>внутрiшньовенно</w:t>
      </w:r>
      <w:proofErr w:type="spellEnd"/>
      <w:r w:rsidRPr="00DB74D7">
        <w:rPr>
          <w:rFonts w:ascii="Times New Roman" w:hAnsi="Times New Roman" w:cs="Times New Roman"/>
          <w:sz w:val="24"/>
          <w:szCs w:val="24"/>
        </w:rPr>
        <w:t>.</w:t>
      </w:r>
    </w:p>
    <w:p w:rsidR="00723A7F" w:rsidRPr="00DB74D7" w:rsidRDefault="00723A7F" w:rsidP="00723A7F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4D7">
        <w:rPr>
          <w:rFonts w:ascii="Times New Roman" w:hAnsi="Times New Roman" w:cs="Times New Roman"/>
          <w:b/>
          <w:sz w:val="24"/>
          <w:szCs w:val="24"/>
        </w:rPr>
        <w:t xml:space="preserve">Таблиця 3. Дозування </w:t>
      </w:r>
      <w:r w:rsidR="004D3E0D" w:rsidRPr="00DB74D7">
        <w:rPr>
          <w:rFonts w:ascii="Times New Roman" w:hAnsi="Times New Roman"/>
          <w:b/>
          <w:sz w:val="24"/>
          <w:szCs w:val="24"/>
        </w:rPr>
        <w:t>препарату</w:t>
      </w:r>
      <w:r w:rsidR="004D3E0D" w:rsidRPr="00DB7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4D7">
        <w:rPr>
          <w:rFonts w:ascii="Times New Roman" w:hAnsi="Times New Roman" w:cs="Times New Roman"/>
          <w:b/>
          <w:sz w:val="24"/>
          <w:szCs w:val="24"/>
        </w:rPr>
        <w:t>при лікуванні та профілактиці собак, котів, хутрових звірів</w:t>
      </w:r>
    </w:p>
    <w:tbl>
      <w:tblPr>
        <w:tblW w:w="10098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1418"/>
        <w:gridCol w:w="4677"/>
      </w:tblGrid>
      <w:tr w:rsidR="00DB74D7" w:rsidRPr="00DB74D7" w:rsidTr="00F3057C">
        <w:trPr>
          <w:trHeight w:val="322"/>
        </w:trPr>
        <w:tc>
          <w:tcPr>
            <w:tcW w:w="4003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b/>
                <w:sz w:val="24"/>
                <w:szCs w:val="24"/>
              </w:rPr>
              <w:t>Призначення</w:t>
            </w:r>
          </w:p>
        </w:tc>
        <w:tc>
          <w:tcPr>
            <w:tcW w:w="1418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b/>
                <w:sz w:val="24"/>
                <w:szCs w:val="24"/>
              </w:rPr>
              <w:t>Доза препарату</w:t>
            </w:r>
          </w:p>
        </w:tc>
        <w:tc>
          <w:tcPr>
            <w:tcW w:w="4677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b/>
                <w:sz w:val="24"/>
                <w:szCs w:val="24"/>
              </w:rPr>
              <w:t>Курс лікування</w:t>
            </w:r>
          </w:p>
        </w:tc>
      </w:tr>
      <w:tr w:rsidR="00DB74D7" w:rsidRPr="00DB74D7" w:rsidTr="00F3057C">
        <w:trPr>
          <w:cantSplit/>
          <w:trHeight w:val="651"/>
        </w:trPr>
        <w:tc>
          <w:tcPr>
            <w:tcW w:w="4003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 xml:space="preserve">При інтоксикації, отруєннях, бактеріальних та вірусних захворюваннях, у </w:t>
            </w:r>
            <w:proofErr w:type="spellStart"/>
            <w:r w:rsidRPr="00DB74D7">
              <w:rPr>
                <w:rFonts w:ascii="Times New Roman" w:hAnsi="Times New Roman"/>
                <w:sz w:val="24"/>
                <w:szCs w:val="24"/>
              </w:rPr>
              <w:t>пiсляоперацiйний</w:t>
            </w:r>
            <w:proofErr w:type="spellEnd"/>
            <w:r w:rsidRPr="00DB74D7">
              <w:rPr>
                <w:rFonts w:ascii="Times New Roman" w:hAnsi="Times New Roman"/>
                <w:sz w:val="24"/>
                <w:szCs w:val="24"/>
              </w:rPr>
              <w:t xml:space="preserve"> період</w:t>
            </w:r>
          </w:p>
        </w:tc>
        <w:tc>
          <w:tcPr>
            <w:tcW w:w="1418" w:type="dxa"/>
            <w:vMerge w:val="restart"/>
            <w:tcBorders>
              <w:top w:val="single" w:sz="4" w:space="0" w:color="77787B"/>
              <w:left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0,5 – 1,0</w:t>
            </w:r>
          </w:p>
          <w:p w:rsidR="004D3E0D" w:rsidRPr="00DB74D7" w:rsidRDefault="004D3E0D" w:rsidP="00F305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мл/кг м. т.</w:t>
            </w:r>
          </w:p>
        </w:tc>
        <w:tc>
          <w:tcPr>
            <w:tcW w:w="4677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7 - 10 разів з інтервалом 24 години</w:t>
            </w:r>
          </w:p>
        </w:tc>
      </w:tr>
      <w:tr w:rsidR="00DB74D7" w:rsidRPr="00DB74D7" w:rsidTr="00F3057C">
        <w:trPr>
          <w:trHeight w:val="506"/>
        </w:trPr>
        <w:tc>
          <w:tcPr>
            <w:tcW w:w="4003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При дегельмінтизації</w:t>
            </w:r>
          </w:p>
        </w:tc>
        <w:tc>
          <w:tcPr>
            <w:tcW w:w="1418" w:type="dxa"/>
            <w:vMerge/>
            <w:tcBorders>
              <w:left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Дворазово, за добу перед обробкою, та повторно через добу після обробки</w:t>
            </w:r>
          </w:p>
        </w:tc>
      </w:tr>
      <w:tr w:rsidR="00DB74D7" w:rsidRPr="00DB74D7" w:rsidTr="00F3057C">
        <w:trPr>
          <w:trHeight w:val="873"/>
        </w:trPr>
        <w:tc>
          <w:tcPr>
            <w:tcW w:w="4003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В період вагітності для покращення стану та розвитку ембріонів</w:t>
            </w:r>
          </w:p>
        </w:tc>
        <w:tc>
          <w:tcPr>
            <w:tcW w:w="1418" w:type="dxa"/>
            <w:vMerge/>
            <w:tcBorders>
              <w:left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77787B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На початку першого та другого місяців</w:t>
            </w:r>
          </w:p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вагітності, курсами по 10 ін’єкцій з інтервалом 24 години</w:t>
            </w:r>
          </w:p>
        </w:tc>
      </w:tr>
      <w:tr w:rsidR="00DB74D7" w:rsidRPr="00DB74D7" w:rsidTr="00F3057C">
        <w:trPr>
          <w:trHeight w:val="364"/>
        </w:trPr>
        <w:tc>
          <w:tcPr>
            <w:tcW w:w="4003" w:type="dxa"/>
            <w:tcBorders>
              <w:top w:val="single" w:sz="4" w:space="0" w:color="77787B"/>
              <w:left w:val="single" w:sz="4" w:space="0" w:color="77787B"/>
              <w:bottom w:val="single" w:sz="4" w:space="0" w:color="auto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В період лактації для покращення якості молока</w:t>
            </w:r>
          </w:p>
        </w:tc>
        <w:tc>
          <w:tcPr>
            <w:tcW w:w="1418" w:type="dxa"/>
            <w:vMerge/>
            <w:tcBorders>
              <w:left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77787B"/>
              <w:left w:val="single" w:sz="4" w:space="0" w:color="77787B"/>
              <w:bottom w:val="single" w:sz="4" w:space="0" w:color="auto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10 ін’єкцій з інтервалом 24 години одразу після пологів</w:t>
            </w:r>
          </w:p>
        </w:tc>
      </w:tr>
      <w:tr w:rsidR="00DB74D7" w:rsidRPr="00DB74D7" w:rsidTr="00F3057C">
        <w:trPr>
          <w:trHeight w:val="1018"/>
        </w:trPr>
        <w:tc>
          <w:tcPr>
            <w:tcW w:w="4003" w:type="dxa"/>
            <w:tcBorders>
              <w:top w:val="single" w:sz="4" w:space="0" w:color="auto"/>
              <w:left w:val="single" w:sz="4" w:space="0" w:color="77787B"/>
              <w:bottom w:val="single" w:sz="4" w:space="0" w:color="auto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Для покращення росту та розвитку молодняка</w:t>
            </w:r>
          </w:p>
        </w:tc>
        <w:tc>
          <w:tcPr>
            <w:tcW w:w="1418" w:type="dxa"/>
            <w:vMerge/>
            <w:tcBorders>
              <w:left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77787B"/>
              <w:bottom w:val="single" w:sz="4" w:space="0" w:color="auto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Курсами по 5 ін’єкцій з інтервалом 24 години, починаючи з другого місяця життя. Курси можна повторювати щомісячно до 6-ти місячного віку</w:t>
            </w:r>
          </w:p>
        </w:tc>
      </w:tr>
      <w:tr w:rsidR="00DB74D7" w:rsidRPr="00DB74D7" w:rsidTr="00F3057C">
        <w:trPr>
          <w:trHeight w:val="1018"/>
        </w:trPr>
        <w:tc>
          <w:tcPr>
            <w:tcW w:w="4003" w:type="dxa"/>
            <w:tcBorders>
              <w:top w:val="single" w:sz="4" w:space="0" w:color="auto"/>
              <w:left w:val="single" w:sz="4" w:space="0" w:color="77787B"/>
              <w:bottom w:val="single" w:sz="4" w:space="0" w:color="auto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Для покращення  обмінних процесів</w:t>
            </w:r>
          </w:p>
        </w:tc>
        <w:tc>
          <w:tcPr>
            <w:tcW w:w="1418" w:type="dxa"/>
            <w:vMerge/>
            <w:tcBorders>
              <w:left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77787B"/>
              <w:bottom w:val="single" w:sz="4" w:space="0" w:color="auto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Курсами по 10 ін’єкцій з інтервалом 24 години.</w:t>
            </w:r>
          </w:p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Курси можна повторювати один раз на 3 місяці</w:t>
            </w:r>
          </w:p>
        </w:tc>
      </w:tr>
      <w:tr w:rsidR="00DB74D7" w:rsidRPr="00DB74D7" w:rsidTr="00F3057C">
        <w:trPr>
          <w:trHeight w:val="575"/>
        </w:trPr>
        <w:tc>
          <w:tcPr>
            <w:tcW w:w="4003" w:type="dxa"/>
            <w:tcBorders>
              <w:top w:val="single" w:sz="4" w:space="0" w:color="auto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 xml:space="preserve">З профілактичною метою під час підготовки тварин до виставок, </w:t>
            </w:r>
            <w:r w:rsidRPr="00DB74D7">
              <w:rPr>
                <w:rFonts w:ascii="Times New Roman" w:hAnsi="Times New Roman"/>
                <w:sz w:val="24"/>
                <w:szCs w:val="24"/>
              </w:rPr>
              <w:lastRenderedPageBreak/>
              <w:t>змагань i транспортування</w:t>
            </w:r>
          </w:p>
        </w:tc>
        <w:tc>
          <w:tcPr>
            <w:tcW w:w="1418" w:type="dxa"/>
            <w:vMerge/>
            <w:tcBorders>
              <w:left w:val="single" w:sz="4" w:space="0" w:color="77787B"/>
              <w:bottom w:val="single" w:sz="4" w:space="0" w:color="auto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77787B"/>
              <w:bottom w:val="single" w:sz="4" w:space="0" w:color="77787B"/>
              <w:right w:val="single" w:sz="4" w:space="0" w:color="77787B"/>
            </w:tcBorders>
            <w:shd w:val="clear" w:color="auto" w:fill="auto"/>
            <w:vAlign w:val="center"/>
          </w:tcPr>
          <w:p w:rsidR="004D3E0D" w:rsidRPr="00DB74D7" w:rsidRDefault="004D3E0D" w:rsidP="00F305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4D7">
              <w:rPr>
                <w:rFonts w:ascii="Times New Roman" w:hAnsi="Times New Roman"/>
                <w:sz w:val="24"/>
                <w:szCs w:val="24"/>
              </w:rPr>
              <w:t>3 ін’єкції з інтервалом 24 години за 3 доби перед запланованою подією</w:t>
            </w:r>
          </w:p>
        </w:tc>
      </w:tr>
    </w:tbl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5.9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Передозування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симптоми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невідкладні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заходи,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антидоти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реєструвалось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5.10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Спеціальні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застереження</w:t>
      </w:r>
      <w:proofErr w:type="spellEnd"/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5.11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Період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виведення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каренції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</w:p>
    <w:p w:rsidR="00723A7F" w:rsidRPr="00DB74D7" w:rsidRDefault="00723A7F" w:rsidP="00723A7F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Забій тварин на м'ясо та використання в харчових цілях м'яса, молока, яєць дозволено без обмежень.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5.12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Спеціальні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застереження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для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осіб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і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обслуговуючого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персоналу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Персонал, </w:t>
      </w:r>
      <w:proofErr w:type="spellStart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який</w:t>
      </w:r>
      <w:proofErr w:type="spellEnd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працює</w:t>
      </w:r>
      <w:proofErr w:type="spellEnd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з препаратом, повинен </w:t>
      </w:r>
      <w:proofErr w:type="spellStart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дотримуватись</w:t>
      </w:r>
      <w:proofErr w:type="spellEnd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основних</w:t>
      </w:r>
      <w:proofErr w:type="spellEnd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правил </w:t>
      </w:r>
      <w:proofErr w:type="spellStart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гігієни</w:t>
      </w:r>
      <w:proofErr w:type="spellEnd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та </w:t>
      </w:r>
      <w:proofErr w:type="spellStart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безпеки</w:t>
      </w:r>
      <w:proofErr w:type="spellEnd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proofErr w:type="spellStart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прийнятих</w:t>
      </w:r>
      <w:proofErr w:type="spellEnd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при </w:t>
      </w:r>
      <w:proofErr w:type="spellStart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роботі</w:t>
      </w:r>
      <w:proofErr w:type="spellEnd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з </w:t>
      </w:r>
      <w:proofErr w:type="spellStart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ветеринарними</w:t>
      </w:r>
      <w:proofErr w:type="spellEnd"/>
      <w:r w:rsidRPr="00DB74D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препаратами.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6.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Фармацевтичні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особливості</w:t>
      </w:r>
      <w:proofErr w:type="spellEnd"/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6.1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Форми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несумісності</w:t>
      </w:r>
      <w:proofErr w:type="spellEnd"/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Відсутні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Термін придатності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18 місяців.</w:t>
      </w:r>
    </w:p>
    <w:p w:rsidR="00723A7F" w:rsidRPr="00DB74D7" w:rsidRDefault="00723A7F" w:rsidP="00723A7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першого відбору з флакону – 7 діб за умови зберігання в сухому темному місці при температурі від 2 до 8</w:t>
      </w:r>
      <w:r w:rsidR="00CF5FF0"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°С.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6.3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Особливі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заходи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зберігання</w:t>
      </w:r>
      <w:proofErr w:type="spellEnd"/>
    </w:p>
    <w:p w:rsidR="00723A7F" w:rsidRPr="00DB74D7" w:rsidRDefault="00723A7F" w:rsidP="00723A7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Темне, недоступне для дітей місце при температурі від 2 до 8</w:t>
      </w:r>
      <w:r w:rsidR="00CF5FF0"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6.4 Природа і склад контейнера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первинного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пакування</w:t>
      </w:r>
      <w:proofErr w:type="spellEnd"/>
    </w:p>
    <w:p w:rsidR="00723A7F" w:rsidRPr="00DB74D7" w:rsidRDefault="00723A7F" w:rsidP="00723A7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Флакони зі скла або полімерних матеріалів по 10, 50, 100, 200, 250 мл.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6.5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Особливі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заходи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безпеки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при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поводженні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невикористаним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препаратом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або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його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залишками</w:t>
      </w:r>
      <w:proofErr w:type="spellEnd"/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Ветеринарні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препарати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потрапляти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воду.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Необхідно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дотримуватись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інструкцій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місцевих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утилізації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ветеринарних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препаратів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інсектицидів</w:t>
      </w:r>
      <w:proofErr w:type="spellEnd"/>
      <w:r w:rsidRPr="00DB74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7.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Назва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та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місцезнаходження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власника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реєстраційного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посвідчення</w:t>
      </w:r>
      <w:proofErr w:type="spellEnd"/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Calibri" w:hAnsi="Times New Roman" w:cs="Times New Roman"/>
          <w:sz w:val="24"/>
          <w:szCs w:val="24"/>
          <w:lang w:eastAsia="ru-RU"/>
        </w:rPr>
        <w:t>ТОВ "БІОТЕСТЛАБ"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4D7">
        <w:rPr>
          <w:rFonts w:ascii="Times New Roman" w:eastAsia="Calibri" w:hAnsi="Times New Roman" w:cs="Times New Roman"/>
          <w:sz w:val="24"/>
          <w:szCs w:val="24"/>
          <w:lang w:eastAsia="ru-RU"/>
        </w:rPr>
        <w:t>08600, Київська обл., м. Васильків, вул. Володимирська, 57-А, Україна.</w:t>
      </w:r>
    </w:p>
    <w:p w:rsidR="00723A7F" w:rsidRPr="00DB74D7" w:rsidRDefault="00723A7F" w:rsidP="00723A7F">
      <w:pPr>
        <w:widowControl w:val="0"/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8.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Назва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та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місцезнаходження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виробника</w:t>
      </w:r>
      <w:proofErr w:type="spellEnd"/>
      <w:r w:rsidRPr="00DB74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готового продукту</w:t>
      </w:r>
    </w:p>
    <w:p w:rsidR="00723A7F" w:rsidRPr="00DB74D7" w:rsidRDefault="00723A7F" w:rsidP="00723A7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  <w:t>ТОВ «БІОТЕСТЛАБ»</w:t>
      </w:r>
    </w:p>
    <w:p w:rsidR="00723A7F" w:rsidRPr="00DB74D7" w:rsidRDefault="00723A7F" w:rsidP="00723A7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  <w:t>Адреса виробництва:</w:t>
      </w:r>
    </w:p>
    <w:p w:rsidR="00723A7F" w:rsidRPr="00DB74D7" w:rsidRDefault="00723A7F" w:rsidP="00723A7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  <w:t xml:space="preserve">Україна, 08600, Київська обл., м. Васильків, вул. Лістрового Олександра, буд. 1/3, </w:t>
      </w:r>
    </w:p>
    <w:p w:rsidR="00723A7F" w:rsidRPr="00DB74D7" w:rsidRDefault="00DB74D7" w:rsidP="00723A7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</w:pPr>
      <w:hyperlink r:id="rId7" w:history="1">
        <w:r w:rsidR="00723A7F" w:rsidRPr="00DB74D7">
          <w:rPr>
            <w:rFonts w:ascii="Times New Roman" w:eastAsia="Times New Roman" w:hAnsi="Times New Roman" w:cs="Times New Roman"/>
            <w:sz w:val="24"/>
            <w:szCs w:val="24"/>
            <w:bdr w:val="nil"/>
            <w:lang w:eastAsia="ru-RU"/>
          </w:rPr>
          <w:t>www.biotestlab.ua</w:t>
        </w:r>
      </w:hyperlink>
    </w:p>
    <w:p w:rsidR="00723A7F" w:rsidRPr="00DB74D7" w:rsidRDefault="00723A7F" w:rsidP="00723A7F">
      <w:pPr>
        <w:keepNext/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7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Додаткова інформація</w:t>
      </w:r>
    </w:p>
    <w:p w:rsidR="00723A7F" w:rsidRPr="00DB74D7" w:rsidRDefault="00723A7F" w:rsidP="00723A7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4D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Відсутня.</w:t>
      </w:r>
    </w:p>
    <w:p w:rsidR="00723A7F" w:rsidRPr="00DB74D7" w:rsidRDefault="00723A7F" w:rsidP="00723A7F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CA606C" w:rsidRPr="00DB74D7" w:rsidRDefault="00723A7F" w:rsidP="00723A7F">
      <w:pPr>
        <w:rPr>
          <w:szCs w:val="24"/>
        </w:rPr>
      </w:pPr>
      <w:r w:rsidRPr="00DB74D7">
        <w:br w:type="page"/>
      </w:r>
    </w:p>
    <w:sectPr w:rsidR="00CA606C" w:rsidRPr="00DB74D7" w:rsidSect="00D41A16">
      <w:headerReference w:type="default" r:id="rId8"/>
      <w:headerReference w:type="first" r:id="rId9"/>
      <w:pgSz w:w="11906" w:h="16838"/>
      <w:pgMar w:top="567" w:right="45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B0" w:rsidRDefault="004F0BB0" w:rsidP="00D41A16">
      <w:pPr>
        <w:spacing w:after="0" w:line="240" w:lineRule="auto"/>
      </w:pPr>
      <w:r>
        <w:separator/>
      </w:r>
    </w:p>
  </w:endnote>
  <w:endnote w:type="continuationSeparator" w:id="0">
    <w:p w:rsidR="004F0BB0" w:rsidRDefault="004F0BB0" w:rsidP="00D4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B0" w:rsidRDefault="004F0BB0" w:rsidP="00D41A16">
      <w:pPr>
        <w:spacing w:after="0" w:line="240" w:lineRule="auto"/>
      </w:pPr>
      <w:r>
        <w:separator/>
      </w:r>
    </w:p>
  </w:footnote>
  <w:footnote w:type="continuationSeparator" w:id="0">
    <w:p w:rsidR="004F0BB0" w:rsidRDefault="004F0BB0" w:rsidP="00D4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B0" w:rsidRPr="00AB0553" w:rsidRDefault="004F0BB0" w:rsidP="00D41A16">
    <w:pPr>
      <w:spacing w:after="0" w:line="240" w:lineRule="auto"/>
      <w:ind w:firstLine="425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Продовження додат</w:t>
    </w:r>
    <w:r w:rsidRPr="00AB0553">
      <w:rPr>
        <w:rFonts w:ascii="Times New Roman" w:eastAsia="Times New Roman" w:hAnsi="Times New Roman" w:cs="Times New Roman"/>
        <w:sz w:val="24"/>
        <w:szCs w:val="24"/>
        <w:lang w:eastAsia="ru-RU"/>
      </w:rPr>
      <w:t>к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у 1</w:t>
    </w:r>
  </w:p>
  <w:p w:rsidR="004F0BB0" w:rsidRPr="00D41A16" w:rsidRDefault="004F0BB0" w:rsidP="00D41A16">
    <w:pPr>
      <w:spacing w:after="0" w:line="240" w:lineRule="auto"/>
      <w:ind w:firstLine="425"/>
      <w:jc w:val="right"/>
      <w:rPr>
        <w:lang w:val="ru-RU"/>
      </w:rPr>
    </w:pPr>
    <w:r w:rsidRPr="00AB0553">
      <w:rPr>
        <w:rFonts w:ascii="Times New Roman" w:eastAsia="Times New Roman" w:hAnsi="Times New Roman" w:cs="Times New Roman"/>
        <w:sz w:val="24"/>
        <w:szCs w:val="24"/>
        <w:lang w:eastAsia="ru-RU"/>
      </w:rPr>
      <w:t>До реєстраційного посвідчення №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271D2F">
      <w:rPr>
        <w:rFonts w:ascii="Times New Roman" w:eastAsia="Times New Roman" w:hAnsi="Times New Roman" w:cs="Times New Roman"/>
        <w:sz w:val="24"/>
        <w:szCs w:val="24"/>
        <w:lang w:eastAsia="ru-RU"/>
      </w:rPr>
      <w:t>АВ-09279-01-19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B0" w:rsidRPr="00AB0553" w:rsidRDefault="004F0BB0" w:rsidP="00D41A16">
    <w:pPr>
      <w:spacing w:after="0" w:line="240" w:lineRule="auto"/>
      <w:ind w:firstLine="425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Додаток 1</w:t>
    </w:r>
    <w:r w:rsidRPr="00AB0553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</w:p>
  <w:p w:rsidR="004F0BB0" w:rsidRPr="00271D2F" w:rsidRDefault="004F0BB0" w:rsidP="00D41A16">
    <w:pPr>
      <w:spacing w:after="0" w:line="240" w:lineRule="auto"/>
      <w:ind w:firstLine="425"/>
      <w:jc w:val="right"/>
      <w:rPr>
        <w:lang w:val="ru-RU"/>
      </w:rPr>
    </w:pPr>
    <w:r w:rsidRPr="00AB0553">
      <w:rPr>
        <w:rFonts w:ascii="Times New Roman" w:eastAsia="Times New Roman" w:hAnsi="Times New Roman" w:cs="Times New Roman"/>
        <w:sz w:val="24"/>
        <w:szCs w:val="24"/>
        <w:lang w:eastAsia="ru-RU"/>
      </w:rPr>
      <w:t>До реєстраційного посвідчення №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271D2F">
      <w:rPr>
        <w:rFonts w:ascii="Times New Roman" w:eastAsia="Times New Roman" w:hAnsi="Times New Roman" w:cs="Times New Roman"/>
        <w:sz w:val="24"/>
        <w:szCs w:val="24"/>
        <w:lang w:eastAsia="ru-RU"/>
      </w:rPr>
      <w:t>АВ-09279-01-19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C44"/>
    <w:multiLevelType w:val="multilevel"/>
    <w:tmpl w:val="200CB6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1" w15:restartNumberingAfterBreak="0">
    <w:nsid w:val="07C42114"/>
    <w:multiLevelType w:val="hybridMultilevel"/>
    <w:tmpl w:val="A76C4DD4"/>
    <w:lvl w:ilvl="0" w:tplc="CAACBF4E">
      <w:start w:val="1"/>
      <w:numFmt w:val="decimal"/>
      <w:lvlText w:val="%1."/>
      <w:lvlJc w:val="left"/>
      <w:pPr>
        <w:ind w:left="26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</w:lvl>
    <w:lvl w:ilvl="3" w:tplc="0419000F" w:tentative="1">
      <w:start w:val="1"/>
      <w:numFmt w:val="decimal"/>
      <w:lvlText w:val="%4."/>
      <w:lvlJc w:val="left"/>
      <w:pPr>
        <w:ind w:left="4792" w:hanging="360"/>
      </w:p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</w:lvl>
    <w:lvl w:ilvl="6" w:tplc="0419000F" w:tentative="1">
      <w:start w:val="1"/>
      <w:numFmt w:val="decimal"/>
      <w:lvlText w:val="%7."/>
      <w:lvlJc w:val="left"/>
      <w:pPr>
        <w:ind w:left="6952" w:hanging="360"/>
      </w:p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2" w15:restartNumberingAfterBreak="0">
    <w:nsid w:val="0C4B4E0E"/>
    <w:multiLevelType w:val="hybridMultilevel"/>
    <w:tmpl w:val="01242C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44B"/>
    <w:multiLevelType w:val="multilevel"/>
    <w:tmpl w:val="8A521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4" w15:restartNumberingAfterBreak="0">
    <w:nsid w:val="3D145EC7"/>
    <w:multiLevelType w:val="hybridMultilevel"/>
    <w:tmpl w:val="91B2CC44"/>
    <w:lvl w:ilvl="0" w:tplc="E2881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336A8B"/>
    <w:multiLevelType w:val="multilevel"/>
    <w:tmpl w:val="958EEC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B644B6"/>
    <w:multiLevelType w:val="hybridMultilevel"/>
    <w:tmpl w:val="2D081688"/>
    <w:lvl w:ilvl="0" w:tplc="970A021C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F1B"/>
    <w:rsid w:val="0000343E"/>
    <w:rsid w:val="00090590"/>
    <w:rsid w:val="000B1F1D"/>
    <w:rsid w:val="000D2B6D"/>
    <w:rsid w:val="001025D6"/>
    <w:rsid w:val="0012607A"/>
    <w:rsid w:val="003A0039"/>
    <w:rsid w:val="00420F1B"/>
    <w:rsid w:val="004A0067"/>
    <w:rsid w:val="004A0315"/>
    <w:rsid w:val="004C4E9B"/>
    <w:rsid w:val="004D3E0D"/>
    <w:rsid w:val="004F0BB0"/>
    <w:rsid w:val="005001ED"/>
    <w:rsid w:val="005B45CA"/>
    <w:rsid w:val="00617F16"/>
    <w:rsid w:val="006B1CE8"/>
    <w:rsid w:val="00723A7F"/>
    <w:rsid w:val="00743730"/>
    <w:rsid w:val="007F1E81"/>
    <w:rsid w:val="00816169"/>
    <w:rsid w:val="00A41F97"/>
    <w:rsid w:val="00B55FED"/>
    <w:rsid w:val="00B86105"/>
    <w:rsid w:val="00BB6CBE"/>
    <w:rsid w:val="00CA606C"/>
    <w:rsid w:val="00CF5FF0"/>
    <w:rsid w:val="00D41A16"/>
    <w:rsid w:val="00DA5286"/>
    <w:rsid w:val="00DB74D7"/>
    <w:rsid w:val="00F90D44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66FEB-9E51-46D5-A76E-7D991049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A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420F1B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"/>
      <w:lang w:val="ru-RU"/>
    </w:rPr>
  </w:style>
  <w:style w:type="character" w:customStyle="1" w:styleId="a3">
    <w:name w:val="Основной текст_"/>
    <w:basedOn w:val="a0"/>
    <w:link w:val="1"/>
    <w:rsid w:val="0012607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styleId="a4">
    <w:name w:val="List Paragraph"/>
    <w:basedOn w:val="a"/>
    <w:uiPriority w:val="34"/>
    <w:qFormat/>
    <w:rsid w:val="00CA606C"/>
    <w:pPr>
      <w:ind w:left="720"/>
      <w:contextualSpacing/>
    </w:pPr>
  </w:style>
  <w:style w:type="table" w:styleId="a5">
    <w:name w:val="Table Grid"/>
    <w:basedOn w:val="a1"/>
    <w:uiPriority w:val="59"/>
    <w:rsid w:val="00B861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52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DA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41A16"/>
    <w:rPr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D4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D41A1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otestlab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4414</Words>
  <Characters>2516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503</dc:creator>
  <cp:lastModifiedBy>admin</cp:lastModifiedBy>
  <cp:revision>12</cp:revision>
  <dcterms:created xsi:type="dcterms:W3CDTF">2024-05-31T13:18:00Z</dcterms:created>
  <dcterms:modified xsi:type="dcterms:W3CDTF">2024-12-03T09:31:00Z</dcterms:modified>
</cp:coreProperties>
</file>