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E6B97" w14:textId="77777777" w:rsidR="00EB529D" w:rsidRPr="007D042B" w:rsidRDefault="00EB529D" w:rsidP="00F7784E">
      <w:pPr>
        <w:ind w:left="6660"/>
        <w:jc w:val="right"/>
      </w:pPr>
      <w:r w:rsidRPr="007D042B">
        <w:t>Додаток 1</w:t>
      </w:r>
    </w:p>
    <w:p w14:paraId="72724995" w14:textId="066AB9A4" w:rsidR="00EB529D" w:rsidRPr="007D042B" w:rsidRDefault="00EB529D" w:rsidP="00F7784E">
      <w:pPr>
        <w:ind w:left="5103"/>
        <w:jc w:val="right"/>
      </w:pPr>
      <w:r w:rsidRPr="007D042B">
        <w:t>до реєстраційного посвідчення</w:t>
      </w:r>
      <w:r w:rsidR="00F7784E" w:rsidRPr="007D042B">
        <w:t xml:space="preserve"> АА-07703-01-18</w:t>
      </w:r>
    </w:p>
    <w:p w14:paraId="691D905A" w14:textId="77777777" w:rsidR="00EB529D" w:rsidRPr="007D042B" w:rsidRDefault="00EB529D" w:rsidP="00EB529D">
      <w:pPr>
        <w:ind w:left="6660"/>
      </w:pPr>
    </w:p>
    <w:p w14:paraId="2E37B093" w14:textId="77777777" w:rsidR="00EB529D" w:rsidRPr="007D042B" w:rsidRDefault="00EB529D" w:rsidP="00EB529D">
      <w:pPr>
        <w:jc w:val="center"/>
        <w:rPr>
          <w:b/>
        </w:rPr>
      </w:pPr>
      <w:r w:rsidRPr="007D042B">
        <w:rPr>
          <w:b/>
        </w:rPr>
        <w:t>Коротка характеристика препарату</w:t>
      </w:r>
    </w:p>
    <w:p w14:paraId="297DD61D" w14:textId="77777777" w:rsidR="00EB529D" w:rsidRPr="007D042B" w:rsidRDefault="00EB529D" w:rsidP="00EB529D">
      <w:pPr>
        <w:jc w:val="center"/>
        <w:rPr>
          <w:b/>
        </w:rPr>
      </w:pPr>
    </w:p>
    <w:p w14:paraId="5B8BE0CA" w14:textId="5269B4C8" w:rsidR="00EB529D" w:rsidRPr="007D042B" w:rsidRDefault="00EB529D" w:rsidP="00EB529D">
      <w:pPr>
        <w:jc w:val="both"/>
        <w:rPr>
          <w:b/>
        </w:rPr>
      </w:pPr>
      <w:r w:rsidRPr="007D042B">
        <w:rPr>
          <w:b/>
        </w:rPr>
        <w:t>1. Назва ветеринарного препарату</w:t>
      </w:r>
    </w:p>
    <w:p w14:paraId="7F3E845A" w14:textId="3F79F737" w:rsidR="00EB529D" w:rsidRPr="007D042B" w:rsidRDefault="00EB529D" w:rsidP="00EB529D">
      <w:pPr>
        <w:jc w:val="both"/>
        <w:rPr>
          <w:bCs/>
        </w:rPr>
      </w:pPr>
      <w:r w:rsidRPr="007D042B">
        <w:rPr>
          <w:bCs/>
        </w:rPr>
        <w:t xml:space="preserve">Каніквантель плюс XL </w:t>
      </w:r>
    </w:p>
    <w:p w14:paraId="203B7F73" w14:textId="77777777" w:rsidR="00EB529D" w:rsidRPr="007D042B" w:rsidRDefault="00EB529D" w:rsidP="00EB529D">
      <w:pPr>
        <w:jc w:val="both"/>
        <w:rPr>
          <w:b/>
        </w:rPr>
      </w:pPr>
      <w:r w:rsidRPr="007D042B">
        <w:rPr>
          <w:b/>
        </w:rPr>
        <w:t>2. Якісний і кількісний склад</w:t>
      </w:r>
    </w:p>
    <w:p w14:paraId="7D7948E6" w14:textId="77777777" w:rsidR="007D042B" w:rsidRPr="007D042B" w:rsidRDefault="007D042B" w:rsidP="007D042B">
      <w:pPr>
        <w:jc w:val="both"/>
        <w:rPr>
          <w:bCs/>
        </w:rPr>
      </w:pPr>
      <w:r w:rsidRPr="007D042B">
        <w:rPr>
          <w:bCs/>
        </w:rPr>
        <w:t>1 таблетка (вагою 1270,6 мг) містить діючі речовини (мг):</w:t>
      </w:r>
    </w:p>
    <w:p w14:paraId="30EE8E60" w14:textId="77777777" w:rsidR="007D042B" w:rsidRPr="007D042B" w:rsidRDefault="007D042B" w:rsidP="007D042B">
      <w:pPr>
        <w:jc w:val="both"/>
        <w:rPr>
          <w:bCs/>
        </w:rPr>
      </w:pPr>
      <w:r w:rsidRPr="007D042B">
        <w:rPr>
          <w:bCs/>
        </w:rPr>
        <w:t>празіквантел – 100,0;</w:t>
      </w:r>
    </w:p>
    <w:p w14:paraId="4AD8C53A" w14:textId="77777777" w:rsidR="007D042B" w:rsidRPr="007D042B" w:rsidRDefault="007D042B" w:rsidP="007D042B">
      <w:pPr>
        <w:pStyle w:val="ae"/>
        <w:rPr>
          <w:bCs/>
          <w:sz w:val="24"/>
          <w:szCs w:val="24"/>
        </w:rPr>
      </w:pPr>
      <w:r w:rsidRPr="007D042B">
        <w:rPr>
          <w:bCs/>
          <w:sz w:val="24"/>
          <w:szCs w:val="24"/>
        </w:rPr>
        <w:t>фенбендазол – 1000,0.</w:t>
      </w:r>
    </w:p>
    <w:p w14:paraId="26C7E621" w14:textId="79131F6E" w:rsidR="00EB529D" w:rsidRPr="007D042B" w:rsidRDefault="007D042B" w:rsidP="007D042B">
      <w:pPr>
        <w:jc w:val="both"/>
        <w:rPr>
          <w:bCs/>
        </w:rPr>
      </w:pPr>
      <w:r w:rsidRPr="007D042B">
        <w:rPr>
          <w:bCs/>
        </w:rPr>
        <w:t>Допоміжні речовини: натрію лаурил сульфат, повідон розчинний, кроскамелоза, заліза оксид червоний, магнію стеарат, спеціальний ароматизатор вегетаріанський (штучний аромат м'яса)</w:t>
      </w:r>
      <w:r w:rsidR="00EB529D" w:rsidRPr="007D042B">
        <w:rPr>
          <w:bCs/>
        </w:rPr>
        <w:t>Допоміжні речовини:</w:t>
      </w:r>
    </w:p>
    <w:tbl>
      <w:tblPr>
        <w:tblStyle w:val="a9"/>
        <w:tblW w:w="0" w:type="auto"/>
        <w:tblLook w:val="04A0" w:firstRow="1" w:lastRow="0" w:firstColumn="1" w:lastColumn="0" w:noHBand="0" w:noVBand="1"/>
      </w:tblPr>
      <w:tblGrid>
        <w:gridCol w:w="5153"/>
        <w:gridCol w:w="5154"/>
      </w:tblGrid>
      <w:tr w:rsidR="009D7E21" w:rsidRPr="007D042B" w14:paraId="7218FE7D" w14:textId="77777777" w:rsidTr="009D7E21">
        <w:tc>
          <w:tcPr>
            <w:tcW w:w="5153" w:type="dxa"/>
          </w:tcPr>
          <w:p w14:paraId="0DB1BA97" w14:textId="15CA06DB" w:rsidR="009D7E21" w:rsidRPr="007D042B" w:rsidRDefault="009D7E21" w:rsidP="009D7E21">
            <w:pPr>
              <w:jc w:val="center"/>
              <w:rPr>
                <w:bCs/>
              </w:rPr>
            </w:pPr>
            <w:r w:rsidRPr="007D042B">
              <w:rPr>
                <w:bCs/>
              </w:rPr>
              <w:t>Назва речовини</w:t>
            </w:r>
          </w:p>
        </w:tc>
        <w:tc>
          <w:tcPr>
            <w:tcW w:w="5154" w:type="dxa"/>
          </w:tcPr>
          <w:p w14:paraId="764FE534" w14:textId="27DAF3DC" w:rsidR="009D7E21" w:rsidRPr="007D042B" w:rsidRDefault="009D7E21" w:rsidP="009D7E21">
            <w:pPr>
              <w:jc w:val="center"/>
              <w:rPr>
                <w:bCs/>
              </w:rPr>
            </w:pPr>
            <w:r w:rsidRPr="007D042B">
              <w:rPr>
                <w:bCs/>
              </w:rPr>
              <w:t>Кількість</w:t>
            </w:r>
          </w:p>
        </w:tc>
      </w:tr>
      <w:tr w:rsidR="009D7E21" w:rsidRPr="007D042B" w14:paraId="55383851" w14:textId="77777777" w:rsidTr="009D7E21">
        <w:tc>
          <w:tcPr>
            <w:tcW w:w="5153" w:type="dxa"/>
          </w:tcPr>
          <w:p w14:paraId="43E7F254" w14:textId="636CC73E" w:rsidR="009D7E21" w:rsidRPr="007D042B" w:rsidRDefault="009D7E21" w:rsidP="00EB529D">
            <w:pPr>
              <w:jc w:val="both"/>
              <w:rPr>
                <w:bCs/>
              </w:rPr>
            </w:pPr>
            <w:r w:rsidRPr="007D042B">
              <w:rPr>
                <w:bCs/>
              </w:rPr>
              <w:t>Лаурил сульфат натрію</w:t>
            </w:r>
          </w:p>
        </w:tc>
        <w:tc>
          <w:tcPr>
            <w:tcW w:w="5154" w:type="dxa"/>
          </w:tcPr>
          <w:p w14:paraId="3448502A" w14:textId="653F51CC" w:rsidR="009D7E21" w:rsidRPr="007D042B" w:rsidRDefault="009D7E21" w:rsidP="009D7E21">
            <w:pPr>
              <w:jc w:val="center"/>
              <w:rPr>
                <w:bCs/>
              </w:rPr>
            </w:pPr>
            <w:r w:rsidRPr="007D042B">
              <w:rPr>
                <w:bCs/>
              </w:rPr>
              <w:t>20,2 мг</w:t>
            </w:r>
          </w:p>
        </w:tc>
      </w:tr>
      <w:tr w:rsidR="009D7E21" w:rsidRPr="007D042B" w14:paraId="672E45CE" w14:textId="77777777" w:rsidTr="009D7E21">
        <w:tc>
          <w:tcPr>
            <w:tcW w:w="5153" w:type="dxa"/>
          </w:tcPr>
          <w:p w14:paraId="68D56C31" w14:textId="002523B7" w:rsidR="009D7E21" w:rsidRPr="007D042B" w:rsidRDefault="009D7E21" w:rsidP="00EB529D">
            <w:pPr>
              <w:jc w:val="both"/>
              <w:rPr>
                <w:bCs/>
              </w:rPr>
            </w:pPr>
            <w:r w:rsidRPr="007D042B">
              <w:rPr>
                <w:bCs/>
              </w:rPr>
              <w:t>Повідон 25</w:t>
            </w:r>
          </w:p>
        </w:tc>
        <w:tc>
          <w:tcPr>
            <w:tcW w:w="5154" w:type="dxa"/>
          </w:tcPr>
          <w:p w14:paraId="5EA47BCD" w14:textId="513A5E21" w:rsidR="009D7E21" w:rsidRPr="007D042B" w:rsidRDefault="009D7E21" w:rsidP="009D7E21">
            <w:pPr>
              <w:jc w:val="center"/>
              <w:rPr>
                <w:bCs/>
              </w:rPr>
            </w:pPr>
            <w:r w:rsidRPr="007D042B">
              <w:rPr>
                <w:bCs/>
              </w:rPr>
              <w:t>40,4 мг</w:t>
            </w:r>
          </w:p>
        </w:tc>
      </w:tr>
      <w:tr w:rsidR="009D7E21" w:rsidRPr="007D042B" w14:paraId="57EDCE67" w14:textId="77777777" w:rsidTr="009D7E21">
        <w:tc>
          <w:tcPr>
            <w:tcW w:w="5153" w:type="dxa"/>
          </w:tcPr>
          <w:p w14:paraId="7538E3F9" w14:textId="15190078" w:rsidR="009D7E21" w:rsidRPr="007D042B" w:rsidRDefault="009D7E21" w:rsidP="00EB529D">
            <w:pPr>
              <w:jc w:val="both"/>
              <w:rPr>
                <w:bCs/>
              </w:rPr>
            </w:pPr>
            <w:r w:rsidRPr="007D042B">
              <w:rPr>
                <w:bCs/>
              </w:rPr>
              <w:t>Магнію стеарат</w:t>
            </w:r>
          </w:p>
        </w:tc>
        <w:tc>
          <w:tcPr>
            <w:tcW w:w="5154" w:type="dxa"/>
          </w:tcPr>
          <w:p w14:paraId="228EB621" w14:textId="16464F67" w:rsidR="009D7E21" w:rsidRPr="007D042B" w:rsidRDefault="009D7E21" w:rsidP="009D7E21">
            <w:pPr>
              <w:jc w:val="center"/>
              <w:rPr>
                <w:bCs/>
              </w:rPr>
            </w:pPr>
            <w:r w:rsidRPr="007D042B">
              <w:rPr>
                <w:bCs/>
              </w:rPr>
              <w:t>38,0 мг</w:t>
            </w:r>
          </w:p>
        </w:tc>
      </w:tr>
      <w:tr w:rsidR="009D7E21" w:rsidRPr="007D042B" w14:paraId="5F21C287" w14:textId="77777777" w:rsidTr="009D7E21">
        <w:tc>
          <w:tcPr>
            <w:tcW w:w="5153" w:type="dxa"/>
          </w:tcPr>
          <w:p w14:paraId="59142B05" w14:textId="7D981C77" w:rsidR="009D7E21" w:rsidRPr="007D042B" w:rsidRDefault="009D7E21" w:rsidP="00EB529D">
            <w:pPr>
              <w:jc w:val="both"/>
              <w:rPr>
                <w:bCs/>
              </w:rPr>
            </w:pPr>
            <w:r w:rsidRPr="007D042B">
              <w:rPr>
                <w:bCs/>
              </w:rPr>
              <w:t>Кроскамелоза</w:t>
            </w:r>
          </w:p>
        </w:tc>
        <w:tc>
          <w:tcPr>
            <w:tcW w:w="5154" w:type="dxa"/>
          </w:tcPr>
          <w:p w14:paraId="75C34457" w14:textId="10C63193" w:rsidR="009D7E21" w:rsidRPr="007D042B" w:rsidRDefault="009D7E21" w:rsidP="009D7E21">
            <w:pPr>
              <w:jc w:val="center"/>
              <w:rPr>
                <w:bCs/>
              </w:rPr>
            </w:pPr>
            <w:r w:rsidRPr="007D042B">
              <w:rPr>
                <w:bCs/>
              </w:rPr>
              <w:t>20,0 мг</w:t>
            </w:r>
          </w:p>
        </w:tc>
      </w:tr>
      <w:tr w:rsidR="009D7E21" w:rsidRPr="007D042B" w14:paraId="60113932" w14:textId="77777777" w:rsidTr="009D7E21">
        <w:tc>
          <w:tcPr>
            <w:tcW w:w="5153" w:type="dxa"/>
          </w:tcPr>
          <w:p w14:paraId="2D3097E0" w14:textId="5C2AB42C" w:rsidR="009D7E21" w:rsidRPr="007D042B" w:rsidRDefault="009D7E21" w:rsidP="00EB529D">
            <w:pPr>
              <w:jc w:val="both"/>
              <w:rPr>
                <w:bCs/>
              </w:rPr>
            </w:pPr>
            <w:r w:rsidRPr="007D042B">
              <w:rPr>
                <w:bCs/>
              </w:rPr>
              <w:t>Оксид заліза червоний</w:t>
            </w:r>
          </w:p>
        </w:tc>
        <w:tc>
          <w:tcPr>
            <w:tcW w:w="5154" w:type="dxa"/>
          </w:tcPr>
          <w:p w14:paraId="3C3F3641" w14:textId="258836E7" w:rsidR="009D7E21" w:rsidRPr="007D042B" w:rsidRDefault="009D7E21" w:rsidP="009D7E21">
            <w:pPr>
              <w:jc w:val="center"/>
              <w:rPr>
                <w:bCs/>
              </w:rPr>
            </w:pPr>
            <w:r w:rsidRPr="007D042B">
              <w:rPr>
                <w:bCs/>
              </w:rPr>
              <w:t>0,6 мг</w:t>
            </w:r>
          </w:p>
        </w:tc>
      </w:tr>
      <w:tr w:rsidR="009D7E21" w:rsidRPr="007D042B" w14:paraId="4BC99101" w14:textId="77777777" w:rsidTr="009D7E21">
        <w:tc>
          <w:tcPr>
            <w:tcW w:w="5153" w:type="dxa"/>
          </w:tcPr>
          <w:p w14:paraId="0FCC2E59" w14:textId="6B0A1193" w:rsidR="009D7E21" w:rsidRPr="007D042B" w:rsidRDefault="00D65D0C" w:rsidP="00EB529D">
            <w:pPr>
              <w:jc w:val="both"/>
              <w:rPr>
                <w:bCs/>
              </w:rPr>
            </w:pPr>
            <w:r w:rsidRPr="007D042B">
              <w:rPr>
                <w:bCs/>
                <w:lang w:val="en-US"/>
              </w:rPr>
              <w:t>C</w:t>
            </w:r>
            <w:r w:rsidR="009D7E21" w:rsidRPr="007D042B">
              <w:rPr>
                <w:bCs/>
              </w:rPr>
              <w:t>пеціальний ароматизатор вегетаріанський (штучний аромат м'яса)</w:t>
            </w:r>
          </w:p>
        </w:tc>
        <w:tc>
          <w:tcPr>
            <w:tcW w:w="5154" w:type="dxa"/>
          </w:tcPr>
          <w:p w14:paraId="271AD77D" w14:textId="40492838" w:rsidR="009D7E21" w:rsidRPr="007D042B" w:rsidRDefault="009D7E21" w:rsidP="009D7E21">
            <w:pPr>
              <w:jc w:val="center"/>
              <w:rPr>
                <w:bCs/>
              </w:rPr>
            </w:pPr>
            <w:r w:rsidRPr="007D042B">
              <w:rPr>
                <w:bCs/>
              </w:rPr>
              <w:t>50,0 мг</w:t>
            </w:r>
          </w:p>
        </w:tc>
      </w:tr>
    </w:tbl>
    <w:p w14:paraId="25951EFE" w14:textId="77777777" w:rsidR="00EB529D" w:rsidRPr="007D042B" w:rsidRDefault="00EB529D" w:rsidP="00EB529D">
      <w:pPr>
        <w:jc w:val="both"/>
        <w:rPr>
          <w:b/>
        </w:rPr>
      </w:pPr>
      <w:r w:rsidRPr="007D042B">
        <w:rPr>
          <w:b/>
        </w:rPr>
        <w:t>3. Фармацевтична форма</w:t>
      </w:r>
    </w:p>
    <w:p w14:paraId="2CBFF498" w14:textId="3C9D2823" w:rsidR="00150491" w:rsidRPr="007D042B" w:rsidRDefault="00150491" w:rsidP="007D042B">
      <w:pPr>
        <w:jc w:val="both"/>
        <w:rPr>
          <w:bCs/>
          <w:strike/>
        </w:rPr>
      </w:pPr>
      <w:r w:rsidRPr="007D042B">
        <w:rPr>
          <w:bCs/>
        </w:rPr>
        <w:t xml:space="preserve">Таблетки </w:t>
      </w:r>
    </w:p>
    <w:p w14:paraId="64D2C34C" w14:textId="3493764A" w:rsidR="00EB529D" w:rsidRPr="007D042B" w:rsidRDefault="00EB529D" w:rsidP="00EB529D">
      <w:pPr>
        <w:jc w:val="both"/>
        <w:rPr>
          <w:b/>
        </w:rPr>
      </w:pPr>
      <w:r w:rsidRPr="007D042B">
        <w:rPr>
          <w:b/>
        </w:rPr>
        <w:t xml:space="preserve">4. </w:t>
      </w:r>
      <w:r w:rsidR="00150491" w:rsidRPr="007D042B">
        <w:rPr>
          <w:b/>
        </w:rPr>
        <w:t>Фармакологічні властивості</w:t>
      </w:r>
    </w:p>
    <w:p w14:paraId="35B91B1F" w14:textId="36B5944D" w:rsidR="00150491" w:rsidRPr="007D042B" w:rsidRDefault="00566870" w:rsidP="00EB529D">
      <w:pPr>
        <w:jc w:val="both"/>
        <w:rPr>
          <w:bCs/>
          <w:i/>
          <w:szCs w:val="22"/>
        </w:rPr>
      </w:pPr>
      <w:r w:rsidRPr="007D042B">
        <w:rPr>
          <w:bCs/>
          <w:i/>
          <w:iCs/>
          <w:color w:val="000000"/>
          <w:lang w:val="de-DE"/>
        </w:rPr>
        <w:t>ATCvet</w:t>
      </w:r>
      <w:r w:rsidRPr="007D042B">
        <w:rPr>
          <w:bCs/>
          <w:i/>
          <w:iCs/>
          <w:color w:val="000000"/>
        </w:rPr>
        <w:t xml:space="preserve"> QP52А, протитрематодні, протинематодні і протицестодні ветеринарні препарати </w:t>
      </w:r>
      <w:r w:rsidRPr="007D042B">
        <w:rPr>
          <w:bCs/>
          <w:i/>
          <w:szCs w:val="22"/>
        </w:rPr>
        <w:t>(QP52AA51, празіквантел, комбінації).</w:t>
      </w:r>
    </w:p>
    <w:p w14:paraId="21E34B93" w14:textId="38E4203F" w:rsidR="00566870" w:rsidRPr="007D042B" w:rsidRDefault="00566870" w:rsidP="00EB529D">
      <w:pPr>
        <w:jc w:val="both"/>
        <w:rPr>
          <w:bCs/>
          <w:i/>
          <w:iCs/>
        </w:rPr>
      </w:pPr>
      <w:r w:rsidRPr="007D042B">
        <w:rPr>
          <w:bCs/>
          <w:i/>
          <w:iCs/>
        </w:rPr>
        <w:t>4.1 Фармакодинамічні властивості</w:t>
      </w:r>
    </w:p>
    <w:p w14:paraId="1E34FAB2" w14:textId="3C103A3F" w:rsidR="005F0D19" w:rsidRPr="007D042B" w:rsidRDefault="005F0D19" w:rsidP="005F0D19">
      <w:pPr>
        <w:jc w:val="both"/>
        <w:rPr>
          <w:bCs/>
        </w:rPr>
      </w:pPr>
      <w:r w:rsidRPr="007D042B">
        <w:rPr>
          <w:bCs/>
          <w:u w:val="single"/>
        </w:rPr>
        <w:t>Празиквантел</w:t>
      </w:r>
      <w:r w:rsidRPr="007D042B">
        <w:rPr>
          <w:bCs/>
        </w:rPr>
        <w:t>. Припускають, що фармакодинамічна дія празиквантелу зумовлена деполяризуючим впливом на клітини чутливих паразитів. Це спричиняє пошкодження тегументу та порушення функції мембрани. Метаболізм паразитів знижується, як це було продемонстровано на прикладі цистицерків Taenia solium. Молекула-мішень і відповідна метаболічна послідовність для дії празиквантелу точно не відомі.</w:t>
      </w:r>
    </w:p>
    <w:p w14:paraId="2E793655" w14:textId="77777777" w:rsidR="005F0D19" w:rsidRPr="007D042B" w:rsidRDefault="005F0D19" w:rsidP="005F0D19">
      <w:pPr>
        <w:jc w:val="both"/>
        <w:rPr>
          <w:bCs/>
        </w:rPr>
      </w:pPr>
      <w:r w:rsidRPr="007D042B">
        <w:rPr>
          <w:bCs/>
          <w:u w:val="single"/>
        </w:rPr>
        <w:t>Фенбендазол</w:t>
      </w:r>
      <w:r w:rsidRPr="007D042B">
        <w:rPr>
          <w:bCs/>
        </w:rPr>
        <w:t xml:space="preserve"> індукує некроз непроліферуючих клітин паразитів через втручання в їхній цитоплазматичний мікротрубочковий апарат. Результати такі: Позбавлення поглинальної поверхні речовин захисного покриву та ферментів, необхідних для перетравлення і всмоктування поживних речовин.</w:t>
      </w:r>
    </w:p>
    <w:p w14:paraId="7B262B6C" w14:textId="77777777" w:rsidR="005F0D19" w:rsidRPr="007D042B" w:rsidRDefault="005F0D19" w:rsidP="005F0D19">
      <w:pPr>
        <w:jc w:val="both"/>
        <w:rPr>
          <w:bCs/>
        </w:rPr>
      </w:pPr>
      <w:r w:rsidRPr="007D042B">
        <w:rPr>
          <w:bCs/>
        </w:rPr>
        <w:t>Протеолітичні та гідролітичні ферменти, які зазвичай транспортуються в неактивній формі, щоб уникнути автолізу, можуть стати активними при тривалому зберіганні і викликати автоліз, що спостерігається через 15 і 24 години після лікування.</w:t>
      </w:r>
    </w:p>
    <w:p w14:paraId="025CD88E" w14:textId="77777777" w:rsidR="005F0D19" w:rsidRPr="007D042B" w:rsidRDefault="005F0D19" w:rsidP="005F0D19">
      <w:pPr>
        <w:jc w:val="both"/>
        <w:rPr>
          <w:bCs/>
        </w:rPr>
      </w:pPr>
      <w:r w:rsidRPr="007D042B">
        <w:rPr>
          <w:bCs/>
        </w:rPr>
        <w:t>Спостерігалося високе поглинання радіоактивно міченого фенбендазолу в спинну і вентральну нервову систему паразита. Результати експериментальних досліджень дозволяють припустити, що дорослий черв'як поглинає фенбендазол перорально, що призводить до порушення енергетичного метаболізму та нейротоксичної дії.</w:t>
      </w:r>
    </w:p>
    <w:p w14:paraId="3915F02F" w14:textId="77777777" w:rsidR="00424D91" w:rsidRPr="007D042B" w:rsidRDefault="00424D91" w:rsidP="00424D91">
      <w:pPr>
        <w:jc w:val="both"/>
        <w:rPr>
          <w:bCs/>
          <w:i/>
          <w:iCs/>
        </w:rPr>
      </w:pPr>
      <w:r w:rsidRPr="007D042B">
        <w:rPr>
          <w:bCs/>
          <w:i/>
          <w:iCs/>
        </w:rPr>
        <w:t>4.2. Фармакокінетика</w:t>
      </w:r>
    </w:p>
    <w:p w14:paraId="79D084FF" w14:textId="7DD5E0AF" w:rsidR="00424D91" w:rsidRPr="007D042B" w:rsidRDefault="00424D91" w:rsidP="00424D91">
      <w:pPr>
        <w:jc w:val="both"/>
        <w:rPr>
          <w:bCs/>
        </w:rPr>
      </w:pPr>
      <w:r w:rsidRPr="007D042B">
        <w:rPr>
          <w:bCs/>
          <w:u w:val="single"/>
        </w:rPr>
        <w:t>Празиквантел.</w:t>
      </w:r>
      <w:r w:rsidRPr="007D042B">
        <w:rPr>
          <w:bCs/>
        </w:rPr>
        <w:t xml:space="preserve"> Перорально застосований празиквантел майже повністю всмоктується з кишкового тракту.</w:t>
      </w:r>
    </w:p>
    <w:p w14:paraId="4F8B1B2E" w14:textId="475EEDB3" w:rsidR="00424D91" w:rsidRPr="007D042B" w:rsidRDefault="00424D91" w:rsidP="00424D91">
      <w:pPr>
        <w:jc w:val="both"/>
        <w:rPr>
          <w:bCs/>
        </w:rPr>
      </w:pPr>
      <w:r w:rsidRPr="007D042B">
        <w:rPr>
          <w:bCs/>
        </w:rPr>
        <w:t>Максимальні концентрації у плазмі крові досягалися у собак, які отримували празиквантел у дозі 5 мг/кг маси тіла, через 0,71 ± 0,46 години. Максимальну концентрацію було визначено на рівні 0,78 ± 0,47 мкг/мл, період напіввиведення - 2,25 ± 1,47 години. Значення AUC становило 2,25 ± 0,92 мкг х год/мл.</w:t>
      </w:r>
    </w:p>
    <w:p w14:paraId="7F57FC68" w14:textId="77777777" w:rsidR="00270C14" w:rsidRPr="007D042B" w:rsidRDefault="00270C14" w:rsidP="00E47CD4">
      <w:pPr>
        <w:ind w:left="6660"/>
      </w:pPr>
    </w:p>
    <w:p w14:paraId="2996DDEB" w14:textId="77777777" w:rsidR="00270C14" w:rsidRPr="007D042B" w:rsidRDefault="00270C14" w:rsidP="00E47CD4">
      <w:pPr>
        <w:ind w:left="6660"/>
      </w:pPr>
    </w:p>
    <w:p w14:paraId="04A5D53B" w14:textId="77777777" w:rsidR="00270C14" w:rsidRPr="007D042B" w:rsidRDefault="00270C14" w:rsidP="00E47CD4">
      <w:pPr>
        <w:ind w:left="6660"/>
      </w:pPr>
    </w:p>
    <w:p w14:paraId="249AD3D1" w14:textId="77777777" w:rsidR="00270C14" w:rsidRPr="007D042B" w:rsidRDefault="00270C14" w:rsidP="00E47CD4">
      <w:pPr>
        <w:ind w:left="6660"/>
      </w:pPr>
    </w:p>
    <w:p w14:paraId="634EEDE1" w14:textId="77777777" w:rsidR="00270C14" w:rsidRPr="007D042B" w:rsidRDefault="00270C14" w:rsidP="00E47CD4">
      <w:pPr>
        <w:ind w:left="6660"/>
      </w:pPr>
    </w:p>
    <w:p w14:paraId="66BE7E39" w14:textId="77777777" w:rsidR="00F7784E" w:rsidRPr="007D042B" w:rsidRDefault="00F7784E" w:rsidP="00424D91">
      <w:pPr>
        <w:jc w:val="both"/>
        <w:rPr>
          <w:bCs/>
        </w:rPr>
      </w:pPr>
    </w:p>
    <w:p w14:paraId="34FD4AEB" w14:textId="77777777" w:rsidR="00F7784E" w:rsidRPr="007D042B" w:rsidRDefault="00F7784E" w:rsidP="00424D91">
      <w:pPr>
        <w:jc w:val="both"/>
        <w:rPr>
          <w:bCs/>
        </w:rPr>
      </w:pPr>
    </w:p>
    <w:p w14:paraId="2610AE46" w14:textId="1EF8EBBB" w:rsidR="00F7784E" w:rsidRPr="007D042B" w:rsidRDefault="00F7784E" w:rsidP="00F7784E">
      <w:pPr>
        <w:ind w:left="6660"/>
        <w:jc w:val="right"/>
      </w:pPr>
      <w:r w:rsidRPr="007D042B">
        <w:t>Продовження додатку 1</w:t>
      </w:r>
    </w:p>
    <w:p w14:paraId="68FA7A16" w14:textId="77777777" w:rsidR="00F7784E" w:rsidRPr="007D042B" w:rsidRDefault="00F7784E" w:rsidP="00F7784E">
      <w:pPr>
        <w:ind w:left="5103"/>
        <w:jc w:val="right"/>
      </w:pPr>
      <w:r w:rsidRPr="007D042B">
        <w:t>до реєстраційного посвідчення АА-07703-01-18</w:t>
      </w:r>
    </w:p>
    <w:p w14:paraId="742FD6A9" w14:textId="77777777" w:rsidR="00F7784E" w:rsidRPr="007D042B" w:rsidRDefault="00F7784E" w:rsidP="00424D91">
      <w:pPr>
        <w:jc w:val="both"/>
        <w:rPr>
          <w:bCs/>
        </w:rPr>
      </w:pPr>
    </w:p>
    <w:p w14:paraId="269E86F5" w14:textId="79ACAC94" w:rsidR="00424D91" w:rsidRPr="007D042B" w:rsidRDefault="00424D91" w:rsidP="00424D91">
      <w:pPr>
        <w:jc w:val="both"/>
        <w:rPr>
          <w:bCs/>
        </w:rPr>
      </w:pPr>
      <w:r w:rsidRPr="007D042B">
        <w:rPr>
          <w:bCs/>
        </w:rPr>
        <w:t>При застосуванні празиквантелу у формі комбінованого препарату Каніканте</w:t>
      </w:r>
      <w:r w:rsidR="007D042B" w:rsidRPr="007D042B">
        <w:rPr>
          <w:bCs/>
        </w:rPr>
        <w:t>ль</w:t>
      </w:r>
      <w:r w:rsidRPr="007D042B">
        <w:rPr>
          <w:bCs/>
        </w:rPr>
        <w:t xml:space="preserve"> плюс (5 мг празиквантелу та 50 мг фенбендазолу/кг маси тіла) максимальна конценрація становили 0,32 ± 0,08 мкг/мл, максимальний час - 1,0 ± 0,52 години, а AUC - 1,66 ± 0,55 мкг х год/мл.</w:t>
      </w:r>
    </w:p>
    <w:p w14:paraId="2AAC3747" w14:textId="77777777" w:rsidR="00424D91" w:rsidRPr="007D042B" w:rsidRDefault="00424D91" w:rsidP="00424D91">
      <w:pPr>
        <w:jc w:val="both"/>
        <w:rPr>
          <w:bCs/>
        </w:rPr>
      </w:pPr>
      <w:r w:rsidRPr="007D042B">
        <w:rPr>
          <w:bCs/>
        </w:rPr>
        <w:t>Період напіввиведення становив 2,64 ± 0,63 години.</w:t>
      </w:r>
    </w:p>
    <w:p w14:paraId="2BD16334" w14:textId="77777777" w:rsidR="00424D91" w:rsidRPr="007D042B" w:rsidRDefault="00424D91" w:rsidP="00424D91">
      <w:pPr>
        <w:jc w:val="both"/>
        <w:rPr>
          <w:bCs/>
        </w:rPr>
      </w:pPr>
      <w:r w:rsidRPr="007D042B">
        <w:rPr>
          <w:bCs/>
        </w:rPr>
        <w:t>Вихідна речовина зазнає дуже швидкої метаболізації. Через 15 хвилин після перорального прийому 98,5 % (щур), 84 % (собака) і 99 % (мавпа) дози було метаболізовано.</w:t>
      </w:r>
    </w:p>
    <w:p w14:paraId="1AD79583" w14:textId="77777777" w:rsidR="00424D91" w:rsidRPr="007D042B" w:rsidRDefault="00424D91" w:rsidP="00424D91">
      <w:pPr>
        <w:jc w:val="both"/>
        <w:rPr>
          <w:bCs/>
        </w:rPr>
      </w:pPr>
      <w:r w:rsidRPr="007D042B">
        <w:rPr>
          <w:bCs/>
        </w:rPr>
        <w:t>Частина виведених метаболітів зв'язується з глюкуроновою та/або сірчаною кислотою. Основними метаболітами є гідроксильовані продукти розпаду празиквантелу (4-гідрокси-циклогексилкарбонільні аналоги).</w:t>
      </w:r>
    </w:p>
    <w:p w14:paraId="5B8F9157" w14:textId="77777777" w:rsidR="00424D91" w:rsidRPr="007D042B" w:rsidRDefault="00424D91" w:rsidP="00424D91">
      <w:pPr>
        <w:jc w:val="both"/>
        <w:rPr>
          <w:bCs/>
        </w:rPr>
      </w:pPr>
      <w:r w:rsidRPr="007D042B">
        <w:rPr>
          <w:bCs/>
        </w:rPr>
        <w:t>Основний метаболіт 4-ОН-празиквантел є фармакологічно активним. Тому концентрації празиквантелу (PZQ) та 4-ОН-празиквантелу (OH-PZQ) можна підсумувати, щоб отримати більш кількісний підхід до основної системної доступності</w:t>
      </w:r>
    </w:p>
    <w:p w14:paraId="2C338B98" w14:textId="4F9867A2" w:rsidR="00424D91" w:rsidRPr="007D042B" w:rsidRDefault="00424D91" w:rsidP="00424D91">
      <w:pPr>
        <w:jc w:val="both"/>
        <w:rPr>
          <w:bCs/>
        </w:rPr>
      </w:pPr>
      <w:r w:rsidRPr="007D042B">
        <w:rPr>
          <w:bCs/>
          <w:u w:val="single"/>
        </w:rPr>
        <w:t>Фенбендазол.</w:t>
      </w:r>
      <w:r w:rsidRPr="007D042B">
        <w:rPr>
          <w:bCs/>
        </w:rPr>
        <w:t xml:space="preserve"> Після лікування домашніх тварин терапевтичними дозами фенбендазолу максимальна концентрація в сироватці крові досягається протягом 6-30 годин, через 10-27 годин виводиться 50% препарату.</w:t>
      </w:r>
    </w:p>
    <w:p w14:paraId="507F174A" w14:textId="77777777" w:rsidR="00424D91" w:rsidRPr="007D042B" w:rsidRDefault="00424D91" w:rsidP="00424D91">
      <w:pPr>
        <w:jc w:val="both"/>
        <w:rPr>
          <w:bCs/>
        </w:rPr>
      </w:pPr>
      <w:r w:rsidRPr="007D042B">
        <w:rPr>
          <w:bCs/>
        </w:rPr>
        <w:t>В окислювальному метаболізмі фенбендазолу переважає сульфоксидація до фенбендазолу-SO (оксофендазолу).</w:t>
      </w:r>
    </w:p>
    <w:p w14:paraId="36AD6041" w14:textId="77777777" w:rsidR="00424D91" w:rsidRPr="007D042B" w:rsidRDefault="00424D91" w:rsidP="00424D91">
      <w:pPr>
        <w:jc w:val="both"/>
        <w:rPr>
          <w:bCs/>
        </w:rPr>
      </w:pPr>
      <w:r w:rsidRPr="007D042B">
        <w:rPr>
          <w:bCs/>
        </w:rPr>
        <w:t>Понад 50 % радіоактивності фенбендазолу було виявлено у фекаліях кролів, щурів, собак та овець, і лише незначна кількість - у сечі.</w:t>
      </w:r>
    </w:p>
    <w:p w14:paraId="34526672" w14:textId="77777777" w:rsidR="00424D91" w:rsidRPr="007D042B" w:rsidRDefault="00424D91" w:rsidP="00424D91">
      <w:pPr>
        <w:jc w:val="both"/>
        <w:rPr>
          <w:bCs/>
        </w:rPr>
      </w:pPr>
      <w:r w:rsidRPr="007D042B">
        <w:rPr>
          <w:bCs/>
        </w:rPr>
        <w:t>При застосуванні препарату Каніквантел® Плюс було виявлено, що системна абсорбція у собак була дуже низькою. На цей показник не впливало, незалежно від того, чи вводили речовину окремо, чи в комбінації з іншими препаратами.</w:t>
      </w:r>
    </w:p>
    <w:p w14:paraId="049B3053" w14:textId="635FF9F2" w:rsidR="00EB529D" w:rsidRPr="007D042B" w:rsidRDefault="00EB529D" w:rsidP="005F0D19">
      <w:pPr>
        <w:jc w:val="both"/>
        <w:rPr>
          <w:b/>
        </w:rPr>
      </w:pPr>
      <w:r w:rsidRPr="007D042B">
        <w:rPr>
          <w:b/>
        </w:rPr>
        <w:t>5. Клінічні особливості</w:t>
      </w:r>
    </w:p>
    <w:p w14:paraId="5099A157" w14:textId="77777777" w:rsidR="00EB529D" w:rsidRPr="007D042B" w:rsidRDefault="00EB529D" w:rsidP="00EB529D">
      <w:pPr>
        <w:jc w:val="both"/>
        <w:rPr>
          <w:b/>
        </w:rPr>
      </w:pPr>
      <w:r w:rsidRPr="007D042B">
        <w:rPr>
          <w:b/>
        </w:rPr>
        <w:t>5.1. Вид тварин</w:t>
      </w:r>
    </w:p>
    <w:p w14:paraId="56AA7060" w14:textId="55E2E104" w:rsidR="00424D91" w:rsidRPr="007D042B" w:rsidRDefault="00424D91" w:rsidP="00EB529D">
      <w:pPr>
        <w:jc w:val="both"/>
        <w:rPr>
          <w:bCs/>
        </w:rPr>
      </w:pPr>
      <w:r w:rsidRPr="007D042B">
        <w:rPr>
          <w:bCs/>
        </w:rPr>
        <w:t xml:space="preserve">Собаки. </w:t>
      </w:r>
    </w:p>
    <w:p w14:paraId="356CADD7" w14:textId="56FC0FC2" w:rsidR="00C9726F" w:rsidRPr="007D042B" w:rsidRDefault="00C9726F" w:rsidP="00C9726F">
      <w:pPr>
        <w:jc w:val="both"/>
        <w:rPr>
          <w:bCs/>
        </w:rPr>
      </w:pPr>
      <w:r w:rsidRPr="007D042B">
        <w:rPr>
          <w:bCs/>
        </w:rPr>
        <w:t>Каніквантель® плюс XL особливо дієвий для собак з великою масою тіла.</w:t>
      </w:r>
    </w:p>
    <w:p w14:paraId="30CF617F" w14:textId="77777777" w:rsidR="00EB529D" w:rsidRPr="007D042B" w:rsidRDefault="00EB529D" w:rsidP="00EB529D">
      <w:pPr>
        <w:jc w:val="both"/>
        <w:rPr>
          <w:b/>
        </w:rPr>
      </w:pPr>
      <w:r w:rsidRPr="007D042B">
        <w:rPr>
          <w:b/>
        </w:rPr>
        <w:t>5.2. Показання до застосування</w:t>
      </w:r>
    </w:p>
    <w:p w14:paraId="35C355A9" w14:textId="77777777" w:rsidR="00270C14" w:rsidRPr="007D042B" w:rsidRDefault="00270C14" w:rsidP="00270C14">
      <w:pPr>
        <w:ind w:firstLine="567"/>
        <w:jc w:val="both"/>
      </w:pPr>
      <w:r w:rsidRPr="007D042B">
        <w:t>Дегельмінтизація собак при ураженні:</w:t>
      </w:r>
    </w:p>
    <w:p w14:paraId="21BA1488" w14:textId="77777777" w:rsidR="00270C14" w:rsidRPr="007D042B" w:rsidRDefault="00270C14" w:rsidP="00270C14">
      <w:pPr>
        <w:numPr>
          <w:ilvl w:val="0"/>
          <w:numId w:val="3"/>
        </w:numPr>
        <w:ind w:hanging="153"/>
        <w:jc w:val="both"/>
      </w:pPr>
      <w:r w:rsidRPr="007D042B">
        <w:rPr>
          <w:u w:val="single"/>
        </w:rPr>
        <w:t xml:space="preserve">нематодами </w:t>
      </w:r>
      <w:r w:rsidRPr="007D042B">
        <w:rPr>
          <w:rStyle w:val="cs5efed22f9"/>
          <w:snapToGrid w:val="0"/>
        </w:rPr>
        <w:t>–</w:t>
      </w:r>
      <w:r w:rsidRPr="007D042B">
        <w:t xml:space="preserve"> </w:t>
      </w:r>
      <w:r w:rsidRPr="007D042B">
        <w:rPr>
          <w:i/>
          <w:lang w:val="it-IT"/>
        </w:rPr>
        <w:t>Toxocara</w:t>
      </w:r>
      <w:r w:rsidRPr="007D042B">
        <w:rPr>
          <w:i/>
        </w:rPr>
        <w:t xml:space="preserve"> </w:t>
      </w:r>
      <w:r w:rsidRPr="007D042B">
        <w:rPr>
          <w:i/>
          <w:lang w:val="it-IT"/>
        </w:rPr>
        <w:t>canis</w:t>
      </w:r>
      <w:r w:rsidRPr="007D042B">
        <w:rPr>
          <w:i/>
        </w:rPr>
        <w:t xml:space="preserve">, </w:t>
      </w:r>
      <w:r w:rsidRPr="007D042B">
        <w:rPr>
          <w:i/>
          <w:lang w:val="it-IT"/>
        </w:rPr>
        <w:t>Toxascaris</w:t>
      </w:r>
      <w:r w:rsidRPr="007D042B">
        <w:rPr>
          <w:i/>
        </w:rPr>
        <w:t xml:space="preserve"> </w:t>
      </w:r>
      <w:r w:rsidRPr="007D042B">
        <w:rPr>
          <w:i/>
          <w:lang w:val="it-IT"/>
        </w:rPr>
        <w:t>leonina</w:t>
      </w:r>
      <w:r w:rsidRPr="007D042B">
        <w:rPr>
          <w:i/>
        </w:rPr>
        <w:t xml:space="preserve">, </w:t>
      </w:r>
      <w:r w:rsidRPr="007D042B">
        <w:rPr>
          <w:i/>
          <w:lang w:val="it-IT"/>
        </w:rPr>
        <w:t>Ancylostoma</w:t>
      </w:r>
      <w:r w:rsidRPr="007D042B">
        <w:rPr>
          <w:i/>
        </w:rPr>
        <w:t xml:space="preserve"> </w:t>
      </w:r>
      <w:r w:rsidRPr="007D042B">
        <w:rPr>
          <w:i/>
          <w:lang w:val="it-IT"/>
        </w:rPr>
        <w:t>caninum,</w:t>
      </w:r>
      <w:r w:rsidRPr="007D042B">
        <w:rPr>
          <w:i/>
        </w:rPr>
        <w:t xml:space="preserve"> </w:t>
      </w:r>
      <w:r w:rsidRPr="007D042B">
        <w:rPr>
          <w:i/>
          <w:lang w:val="it-IT"/>
        </w:rPr>
        <w:t>Uncinaria</w:t>
      </w:r>
      <w:r w:rsidRPr="007D042B">
        <w:rPr>
          <w:i/>
        </w:rPr>
        <w:t xml:space="preserve"> </w:t>
      </w:r>
      <w:r w:rsidRPr="007D042B">
        <w:rPr>
          <w:i/>
          <w:lang w:val="it-IT"/>
        </w:rPr>
        <w:t>stenocephala</w:t>
      </w:r>
      <w:r w:rsidRPr="007D042B">
        <w:rPr>
          <w:i/>
        </w:rPr>
        <w:t xml:space="preserve">, </w:t>
      </w:r>
      <w:r w:rsidRPr="007D042B">
        <w:rPr>
          <w:i/>
          <w:lang w:val="it-IT"/>
        </w:rPr>
        <w:t>Trichuris</w:t>
      </w:r>
      <w:r w:rsidRPr="007D042B">
        <w:rPr>
          <w:i/>
        </w:rPr>
        <w:t xml:space="preserve"> </w:t>
      </w:r>
      <w:r w:rsidRPr="007D042B">
        <w:rPr>
          <w:i/>
          <w:lang w:val="it-IT"/>
        </w:rPr>
        <w:t>vulpis</w:t>
      </w:r>
      <w:r w:rsidRPr="007D042B">
        <w:rPr>
          <w:i/>
        </w:rPr>
        <w:t>;</w:t>
      </w:r>
    </w:p>
    <w:p w14:paraId="7AB25A9A" w14:textId="77777777" w:rsidR="00270C14" w:rsidRPr="007D042B" w:rsidRDefault="00270C14" w:rsidP="00270C14">
      <w:pPr>
        <w:numPr>
          <w:ilvl w:val="0"/>
          <w:numId w:val="3"/>
        </w:numPr>
        <w:ind w:hanging="153"/>
        <w:rPr>
          <w:i/>
        </w:rPr>
      </w:pPr>
      <w:r w:rsidRPr="007D042B">
        <w:rPr>
          <w:u w:val="single"/>
        </w:rPr>
        <w:t xml:space="preserve">цестодами </w:t>
      </w:r>
      <w:r w:rsidRPr="007D042B">
        <w:rPr>
          <w:rStyle w:val="cs5efed22f9"/>
          <w:snapToGrid w:val="0"/>
        </w:rPr>
        <w:t>–</w:t>
      </w:r>
      <w:r w:rsidRPr="007D042B">
        <w:t xml:space="preserve"> </w:t>
      </w:r>
      <w:r w:rsidRPr="007D042B">
        <w:rPr>
          <w:i/>
          <w:lang w:val="it-IT"/>
        </w:rPr>
        <w:t>Dipylidium</w:t>
      </w:r>
      <w:r w:rsidRPr="007D042B">
        <w:rPr>
          <w:i/>
        </w:rPr>
        <w:t xml:space="preserve"> </w:t>
      </w:r>
      <w:r w:rsidRPr="007D042B">
        <w:rPr>
          <w:i/>
          <w:lang w:val="it-IT"/>
        </w:rPr>
        <w:t>caninum</w:t>
      </w:r>
      <w:r w:rsidRPr="007D042B">
        <w:rPr>
          <w:i/>
        </w:rPr>
        <w:t xml:space="preserve">, </w:t>
      </w:r>
      <w:r w:rsidRPr="007D042B">
        <w:rPr>
          <w:i/>
          <w:lang w:val="en-US"/>
        </w:rPr>
        <w:t>Taenia</w:t>
      </w:r>
      <w:r w:rsidRPr="007D042B">
        <w:rPr>
          <w:i/>
        </w:rPr>
        <w:t xml:space="preserve"> </w:t>
      </w:r>
      <w:r w:rsidRPr="007D042B">
        <w:rPr>
          <w:i/>
          <w:lang w:val="en-US"/>
        </w:rPr>
        <w:t>spp</w:t>
      </w:r>
      <w:r w:rsidRPr="007D042B">
        <w:t xml:space="preserve">., </w:t>
      </w:r>
      <w:r w:rsidRPr="007D042B">
        <w:rPr>
          <w:i/>
          <w:lang w:val="it-IT"/>
        </w:rPr>
        <w:t>Echinococcus</w:t>
      </w:r>
      <w:r w:rsidRPr="007D042B">
        <w:rPr>
          <w:i/>
        </w:rPr>
        <w:t xml:space="preserve"> </w:t>
      </w:r>
      <w:r w:rsidRPr="007D042B">
        <w:rPr>
          <w:i/>
          <w:lang w:val="en-US"/>
        </w:rPr>
        <w:t>spp</w:t>
      </w:r>
      <w:r w:rsidRPr="007D042B">
        <w:t xml:space="preserve">., </w:t>
      </w:r>
      <w:r w:rsidRPr="007D042B">
        <w:rPr>
          <w:i/>
        </w:rPr>
        <w:t xml:space="preserve"> </w:t>
      </w:r>
      <w:r w:rsidRPr="007D042B">
        <w:rPr>
          <w:i/>
          <w:lang w:val="en-US"/>
        </w:rPr>
        <w:t>Mesocestoides</w:t>
      </w:r>
      <w:r w:rsidRPr="007D042B">
        <w:rPr>
          <w:i/>
        </w:rPr>
        <w:t xml:space="preserve"> </w:t>
      </w:r>
      <w:r w:rsidRPr="007D042B">
        <w:rPr>
          <w:i/>
          <w:lang w:val="en-US"/>
        </w:rPr>
        <w:t>spp</w:t>
      </w:r>
      <w:r w:rsidRPr="007D042B">
        <w:rPr>
          <w:i/>
        </w:rPr>
        <w:t xml:space="preserve">. </w:t>
      </w:r>
    </w:p>
    <w:p w14:paraId="274AC4CD" w14:textId="77777777" w:rsidR="00270C14" w:rsidRPr="007D042B" w:rsidRDefault="00270C14" w:rsidP="00270C14">
      <w:pPr>
        <w:numPr>
          <w:ilvl w:val="12"/>
          <w:numId w:val="0"/>
        </w:numPr>
        <w:ind w:left="720"/>
        <w:jc w:val="both"/>
        <w:rPr>
          <w:i/>
        </w:rPr>
      </w:pPr>
      <w:r w:rsidRPr="007D042B">
        <w:rPr>
          <w:u w:val="single"/>
        </w:rPr>
        <w:t xml:space="preserve">- трематодами </w:t>
      </w:r>
      <w:r w:rsidRPr="007D042B">
        <w:rPr>
          <w:rStyle w:val="cs5efed22f9"/>
          <w:snapToGrid w:val="0"/>
        </w:rPr>
        <w:t>–</w:t>
      </w:r>
      <w:r w:rsidRPr="007D042B">
        <w:t xml:space="preserve"> </w:t>
      </w:r>
      <w:r w:rsidRPr="007D042B">
        <w:rPr>
          <w:i/>
          <w:lang w:val="it-IT"/>
        </w:rPr>
        <w:t>Opisthorchis felineus, Alaria alata, Pseudamphistomum truncatum, Echinochasmus perfoliatus</w:t>
      </w:r>
      <w:r w:rsidRPr="007D042B">
        <w:rPr>
          <w:i/>
        </w:rPr>
        <w:t>.</w:t>
      </w:r>
    </w:p>
    <w:p w14:paraId="02BAC25C" w14:textId="61DA2736" w:rsidR="00B331AA" w:rsidRPr="007D042B" w:rsidRDefault="00B331AA" w:rsidP="00B001A9">
      <w:pPr>
        <w:jc w:val="both"/>
        <w:rPr>
          <w:bCs/>
        </w:rPr>
      </w:pPr>
      <w:r w:rsidRPr="007D042B">
        <w:rPr>
          <w:bCs/>
        </w:rPr>
        <w:t>Оскільки найбільш рання можливість зараження стьожковими гельмінтами у новонароджених цуценят існує після третього тижня життя, лікування таблетками Канікантел® Плюс XL, у зв'язку з діагнозом комбінованої інвазії, показане лише після третього тижня життя.</w:t>
      </w:r>
    </w:p>
    <w:p w14:paraId="1EDC0547" w14:textId="77777777" w:rsidR="00EB529D" w:rsidRPr="007D042B" w:rsidRDefault="00EB529D" w:rsidP="00EB529D">
      <w:pPr>
        <w:jc w:val="both"/>
        <w:rPr>
          <w:b/>
        </w:rPr>
      </w:pPr>
      <w:r w:rsidRPr="007D042B">
        <w:rPr>
          <w:b/>
        </w:rPr>
        <w:t>5.3. Протипоказання</w:t>
      </w:r>
    </w:p>
    <w:p w14:paraId="1B1EA5D0" w14:textId="548BD7E5" w:rsidR="00B331AA" w:rsidRPr="007D042B" w:rsidRDefault="00B331AA" w:rsidP="00EB529D">
      <w:pPr>
        <w:jc w:val="both"/>
        <w:rPr>
          <w:bCs/>
        </w:rPr>
      </w:pPr>
      <w:r w:rsidRPr="007D042B">
        <w:rPr>
          <w:bCs/>
        </w:rPr>
        <w:t>Не застосовувати цуценятам та кошенятам віком менше 3 тижнів</w:t>
      </w:r>
    </w:p>
    <w:p w14:paraId="79C33AD9" w14:textId="20DEAA04" w:rsidR="00EB529D" w:rsidRPr="007D042B" w:rsidRDefault="00EB529D" w:rsidP="00EB529D">
      <w:pPr>
        <w:jc w:val="both"/>
        <w:rPr>
          <w:b/>
        </w:rPr>
      </w:pPr>
      <w:r w:rsidRPr="007D042B">
        <w:rPr>
          <w:b/>
        </w:rPr>
        <w:t>5.4. Побічна дія</w:t>
      </w:r>
    </w:p>
    <w:p w14:paraId="1AD37C8C" w14:textId="0294AA2E" w:rsidR="00B001A9" w:rsidRPr="007D042B" w:rsidRDefault="0061552B" w:rsidP="00EB529D">
      <w:pPr>
        <w:jc w:val="both"/>
        <w:rPr>
          <w:bCs/>
        </w:rPr>
      </w:pPr>
      <w:r w:rsidRPr="007D042B">
        <w:rPr>
          <w:bCs/>
        </w:rPr>
        <w:t>Цільові види</w:t>
      </w:r>
      <w:r w:rsidR="0035789D" w:rsidRPr="007D042B">
        <w:rPr>
          <w:bCs/>
        </w:rPr>
        <w:t xml:space="preserve"> Собаки</w:t>
      </w:r>
    </w:p>
    <w:tbl>
      <w:tblPr>
        <w:tblStyle w:val="a9"/>
        <w:tblW w:w="0" w:type="auto"/>
        <w:tblLook w:val="04A0" w:firstRow="1" w:lastRow="0" w:firstColumn="1" w:lastColumn="0" w:noHBand="0" w:noVBand="1"/>
      </w:tblPr>
      <w:tblGrid>
        <w:gridCol w:w="5153"/>
        <w:gridCol w:w="5154"/>
      </w:tblGrid>
      <w:tr w:rsidR="0035789D" w:rsidRPr="007D042B" w14:paraId="3CFE8600" w14:textId="77777777" w:rsidTr="0035789D">
        <w:tc>
          <w:tcPr>
            <w:tcW w:w="5153" w:type="dxa"/>
          </w:tcPr>
          <w:p w14:paraId="66864420" w14:textId="77777777" w:rsidR="0035789D" w:rsidRPr="007D042B" w:rsidRDefault="0035789D" w:rsidP="00EB529D">
            <w:pPr>
              <w:jc w:val="both"/>
              <w:rPr>
                <w:bCs/>
                <w:sz w:val="20"/>
                <w:szCs w:val="20"/>
              </w:rPr>
            </w:pPr>
            <w:r w:rsidRPr="007D042B">
              <w:rPr>
                <w:bCs/>
                <w:sz w:val="20"/>
                <w:szCs w:val="20"/>
              </w:rPr>
              <w:t>Дуже поширені</w:t>
            </w:r>
          </w:p>
          <w:p w14:paraId="38CEF7FF" w14:textId="67C6D231" w:rsidR="0035789D" w:rsidRPr="007D042B" w:rsidRDefault="0035789D" w:rsidP="00EB529D">
            <w:pPr>
              <w:jc w:val="both"/>
              <w:rPr>
                <w:bCs/>
                <w:sz w:val="20"/>
                <w:szCs w:val="20"/>
              </w:rPr>
            </w:pPr>
            <w:r w:rsidRPr="007D042B">
              <w:rPr>
                <w:bCs/>
                <w:sz w:val="20"/>
                <w:szCs w:val="20"/>
              </w:rPr>
              <w:t>(&gt;1 тварини</w:t>
            </w:r>
            <w:r w:rsidRPr="007D042B">
              <w:rPr>
                <w:bCs/>
                <w:sz w:val="20"/>
                <w:szCs w:val="20"/>
                <w:lang w:val="ru-RU"/>
              </w:rPr>
              <w:t xml:space="preserve"> /10 </w:t>
            </w:r>
            <w:r w:rsidRPr="007D042B">
              <w:rPr>
                <w:bCs/>
                <w:sz w:val="20"/>
                <w:szCs w:val="20"/>
              </w:rPr>
              <w:t>оброблених</w:t>
            </w:r>
            <w:r w:rsidRPr="007D042B">
              <w:rPr>
                <w:bCs/>
                <w:sz w:val="20"/>
                <w:szCs w:val="20"/>
                <w:lang w:val="ru-RU"/>
              </w:rPr>
              <w:t xml:space="preserve"> тварин</w:t>
            </w:r>
            <w:r w:rsidRPr="007D042B">
              <w:rPr>
                <w:bCs/>
                <w:sz w:val="20"/>
                <w:szCs w:val="20"/>
              </w:rPr>
              <w:t>)</w:t>
            </w:r>
          </w:p>
        </w:tc>
        <w:tc>
          <w:tcPr>
            <w:tcW w:w="5154" w:type="dxa"/>
            <w:vAlign w:val="center"/>
          </w:tcPr>
          <w:p w14:paraId="770CB166" w14:textId="4D186A11" w:rsidR="0035789D" w:rsidRPr="007D042B" w:rsidRDefault="0035789D" w:rsidP="00EB529D">
            <w:pPr>
              <w:jc w:val="both"/>
              <w:rPr>
                <w:bCs/>
                <w:sz w:val="20"/>
                <w:szCs w:val="20"/>
              </w:rPr>
            </w:pPr>
            <w:r w:rsidRPr="007D042B">
              <w:rPr>
                <w:bCs/>
                <w:sz w:val="20"/>
                <w:szCs w:val="20"/>
              </w:rPr>
              <w:t>Про побічні ефекти не повідомлялося</w:t>
            </w:r>
          </w:p>
        </w:tc>
      </w:tr>
      <w:tr w:rsidR="0035789D" w:rsidRPr="007D042B" w14:paraId="6DCC92AB" w14:textId="77777777" w:rsidTr="0035789D">
        <w:tc>
          <w:tcPr>
            <w:tcW w:w="5153" w:type="dxa"/>
          </w:tcPr>
          <w:p w14:paraId="63EBA87B" w14:textId="77777777" w:rsidR="0035789D" w:rsidRPr="007D042B" w:rsidRDefault="0035789D" w:rsidP="00EB529D">
            <w:pPr>
              <w:jc w:val="both"/>
              <w:rPr>
                <w:bCs/>
                <w:sz w:val="20"/>
                <w:szCs w:val="20"/>
              </w:rPr>
            </w:pPr>
            <w:r w:rsidRPr="007D042B">
              <w:rPr>
                <w:bCs/>
                <w:sz w:val="20"/>
                <w:szCs w:val="20"/>
              </w:rPr>
              <w:t>Поширені</w:t>
            </w:r>
          </w:p>
          <w:p w14:paraId="0B676FDE" w14:textId="285EA452" w:rsidR="0035789D" w:rsidRPr="007D042B" w:rsidRDefault="0035789D" w:rsidP="00EB529D">
            <w:pPr>
              <w:jc w:val="both"/>
              <w:rPr>
                <w:bCs/>
                <w:sz w:val="20"/>
                <w:szCs w:val="20"/>
              </w:rPr>
            </w:pPr>
            <w:r w:rsidRPr="007D042B">
              <w:rPr>
                <w:bCs/>
                <w:sz w:val="20"/>
                <w:szCs w:val="20"/>
              </w:rPr>
              <w:t>(&gt;1 тварини</w:t>
            </w:r>
            <w:r w:rsidRPr="007D042B">
              <w:rPr>
                <w:bCs/>
                <w:sz w:val="20"/>
                <w:szCs w:val="20"/>
                <w:lang w:val="ru-RU"/>
              </w:rPr>
              <w:t xml:space="preserve"> /100 </w:t>
            </w:r>
            <w:r w:rsidRPr="007D042B">
              <w:rPr>
                <w:bCs/>
                <w:sz w:val="20"/>
                <w:szCs w:val="20"/>
              </w:rPr>
              <w:t>оброблених</w:t>
            </w:r>
            <w:r w:rsidRPr="007D042B">
              <w:rPr>
                <w:bCs/>
                <w:sz w:val="20"/>
                <w:szCs w:val="20"/>
                <w:lang w:val="ru-RU"/>
              </w:rPr>
              <w:t xml:space="preserve"> тварин</w:t>
            </w:r>
            <w:r w:rsidRPr="007D042B">
              <w:rPr>
                <w:bCs/>
                <w:sz w:val="20"/>
                <w:szCs w:val="20"/>
              </w:rPr>
              <w:t>)</w:t>
            </w:r>
          </w:p>
        </w:tc>
        <w:tc>
          <w:tcPr>
            <w:tcW w:w="5154" w:type="dxa"/>
            <w:vAlign w:val="center"/>
          </w:tcPr>
          <w:p w14:paraId="1A3B3E2A" w14:textId="43784C8D" w:rsidR="0035789D" w:rsidRPr="007D042B" w:rsidRDefault="0035789D" w:rsidP="00EB529D">
            <w:pPr>
              <w:jc w:val="both"/>
              <w:rPr>
                <w:bCs/>
                <w:sz w:val="20"/>
                <w:szCs w:val="20"/>
              </w:rPr>
            </w:pPr>
            <w:r w:rsidRPr="007D042B">
              <w:rPr>
                <w:bCs/>
                <w:sz w:val="20"/>
                <w:szCs w:val="20"/>
              </w:rPr>
              <w:t>Про побічні ефекти не повідомлялося</w:t>
            </w:r>
          </w:p>
        </w:tc>
      </w:tr>
      <w:tr w:rsidR="0035789D" w:rsidRPr="007D042B" w14:paraId="5F44F8FC" w14:textId="77777777" w:rsidTr="0035789D">
        <w:tc>
          <w:tcPr>
            <w:tcW w:w="5153" w:type="dxa"/>
          </w:tcPr>
          <w:p w14:paraId="19B945BC" w14:textId="77777777" w:rsidR="0035789D" w:rsidRPr="007D042B" w:rsidRDefault="0035789D" w:rsidP="0035789D">
            <w:pPr>
              <w:jc w:val="both"/>
              <w:rPr>
                <w:bCs/>
                <w:sz w:val="20"/>
                <w:szCs w:val="20"/>
              </w:rPr>
            </w:pPr>
            <w:r w:rsidRPr="007D042B">
              <w:rPr>
                <w:bCs/>
                <w:sz w:val="20"/>
                <w:szCs w:val="20"/>
              </w:rPr>
              <w:t>Не поширені</w:t>
            </w:r>
          </w:p>
          <w:p w14:paraId="5C2399EA" w14:textId="267E282F" w:rsidR="0035789D" w:rsidRPr="007D042B" w:rsidRDefault="0035789D" w:rsidP="0035789D">
            <w:pPr>
              <w:jc w:val="both"/>
              <w:rPr>
                <w:bCs/>
                <w:sz w:val="20"/>
                <w:szCs w:val="20"/>
              </w:rPr>
            </w:pPr>
            <w:r w:rsidRPr="007D042B">
              <w:rPr>
                <w:bCs/>
                <w:sz w:val="20"/>
                <w:szCs w:val="20"/>
              </w:rPr>
              <w:t>(&gt;1 тварини</w:t>
            </w:r>
            <w:r w:rsidRPr="007D042B">
              <w:rPr>
                <w:bCs/>
                <w:sz w:val="20"/>
                <w:szCs w:val="20"/>
                <w:lang w:val="ru-RU"/>
              </w:rPr>
              <w:t xml:space="preserve"> /1000 </w:t>
            </w:r>
            <w:r w:rsidRPr="007D042B">
              <w:rPr>
                <w:bCs/>
                <w:sz w:val="20"/>
                <w:szCs w:val="20"/>
              </w:rPr>
              <w:t>оброблених</w:t>
            </w:r>
            <w:r w:rsidRPr="007D042B">
              <w:rPr>
                <w:bCs/>
                <w:sz w:val="20"/>
                <w:szCs w:val="20"/>
                <w:lang w:val="ru-RU"/>
              </w:rPr>
              <w:t xml:space="preserve"> тварин</w:t>
            </w:r>
            <w:r w:rsidRPr="007D042B">
              <w:rPr>
                <w:bCs/>
                <w:sz w:val="20"/>
                <w:szCs w:val="20"/>
              </w:rPr>
              <w:t>)</w:t>
            </w:r>
          </w:p>
        </w:tc>
        <w:tc>
          <w:tcPr>
            <w:tcW w:w="5154" w:type="dxa"/>
            <w:vAlign w:val="center"/>
          </w:tcPr>
          <w:p w14:paraId="5CD48025" w14:textId="025DF990" w:rsidR="0035789D" w:rsidRPr="007D042B" w:rsidRDefault="0035789D" w:rsidP="0035789D">
            <w:pPr>
              <w:jc w:val="both"/>
              <w:rPr>
                <w:bCs/>
                <w:sz w:val="20"/>
                <w:szCs w:val="20"/>
              </w:rPr>
            </w:pPr>
            <w:r w:rsidRPr="007D042B">
              <w:rPr>
                <w:sz w:val="20"/>
                <w:szCs w:val="20"/>
              </w:rPr>
              <w:t>Про побічні ефекти не повідомлялося</w:t>
            </w:r>
          </w:p>
        </w:tc>
      </w:tr>
      <w:tr w:rsidR="0035789D" w:rsidRPr="007D042B" w14:paraId="43645B56" w14:textId="77777777" w:rsidTr="0035789D">
        <w:tc>
          <w:tcPr>
            <w:tcW w:w="5153" w:type="dxa"/>
          </w:tcPr>
          <w:p w14:paraId="14651469" w14:textId="77777777" w:rsidR="0035789D" w:rsidRPr="007D042B" w:rsidRDefault="0035789D" w:rsidP="0035789D">
            <w:pPr>
              <w:jc w:val="both"/>
              <w:rPr>
                <w:bCs/>
                <w:sz w:val="20"/>
                <w:szCs w:val="20"/>
              </w:rPr>
            </w:pPr>
            <w:r w:rsidRPr="007D042B">
              <w:rPr>
                <w:bCs/>
                <w:sz w:val="20"/>
                <w:szCs w:val="20"/>
              </w:rPr>
              <w:t>Рідкі</w:t>
            </w:r>
          </w:p>
          <w:p w14:paraId="7410CAD0" w14:textId="1B57FC77" w:rsidR="0035789D" w:rsidRPr="007D042B" w:rsidRDefault="0035789D" w:rsidP="0035789D">
            <w:pPr>
              <w:jc w:val="both"/>
              <w:rPr>
                <w:bCs/>
                <w:sz w:val="20"/>
                <w:szCs w:val="20"/>
              </w:rPr>
            </w:pPr>
            <w:r w:rsidRPr="007D042B">
              <w:rPr>
                <w:bCs/>
                <w:sz w:val="20"/>
                <w:szCs w:val="20"/>
              </w:rPr>
              <w:t>(&gt;1 тварини</w:t>
            </w:r>
            <w:r w:rsidRPr="007D042B">
              <w:rPr>
                <w:bCs/>
                <w:sz w:val="20"/>
                <w:szCs w:val="20"/>
                <w:lang w:val="ru-RU"/>
              </w:rPr>
              <w:t xml:space="preserve"> /100000 </w:t>
            </w:r>
            <w:r w:rsidRPr="007D042B">
              <w:rPr>
                <w:bCs/>
                <w:sz w:val="20"/>
                <w:szCs w:val="20"/>
              </w:rPr>
              <w:t>оброблених</w:t>
            </w:r>
            <w:r w:rsidRPr="007D042B">
              <w:rPr>
                <w:bCs/>
                <w:sz w:val="20"/>
                <w:szCs w:val="20"/>
                <w:lang w:val="ru-RU"/>
              </w:rPr>
              <w:t xml:space="preserve"> тварин</w:t>
            </w:r>
            <w:r w:rsidRPr="007D042B">
              <w:rPr>
                <w:bCs/>
                <w:sz w:val="20"/>
                <w:szCs w:val="20"/>
              </w:rPr>
              <w:t>)</w:t>
            </w:r>
          </w:p>
        </w:tc>
        <w:tc>
          <w:tcPr>
            <w:tcW w:w="5154" w:type="dxa"/>
            <w:vAlign w:val="center"/>
          </w:tcPr>
          <w:p w14:paraId="434183A6" w14:textId="6A3BB679" w:rsidR="0035789D" w:rsidRPr="007D042B" w:rsidRDefault="0035789D" w:rsidP="0035789D">
            <w:pPr>
              <w:jc w:val="both"/>
              <w:rPr>
                <w:bCs/>
                <w:sz w:val="20"/>
                <w:szCs w:val="20"/>
              </w:rPr>
            </w:pPr>
            <w:r w:rsidRPr="007D042B">
              <w:rPr>
                <w:sz w:val="20"/>
                <w:szCs w:val="20"/>
              </w:rPr>
              <w:t>Про побічні ефекти не повідомлялося</w:t>
            </w:r>
          </w:p>
        </w:tc>
      </w:tr>
      <w:tr w:rsidR="0035789D" w:rsidRPr="007D042B" w14:paraId="649154F9" w14:textId="77777777" w:rsidTr="0035789D">
        <w:tc>
          <w:tcPr>
            <w:tcW w:w="5153" w:type="dxa"/>
          </w:tcPr>
          <w:p w14:paraId="7133B708" w14:textId="77777777" w:rsidR="0035789D" w:rsidRPr="007D042B" w:rsidRDefault="0035789D" w:rsidP="0035789D">
            <w:pPr>
              <w:jc w:val="both"/>
              <w:rPr>
                <w:bCs/>
                <w:sz w:val="20"/>
                <w:szCs w:val="20"/>
              </w:rPr>
            </w:pPr>
            <w:r w:rsidRPr="007D042B">
              <w:rPr>
                <w:bCs/>
                <w:sz w:val="20"/>
                <w:szCs w:val="20"/>
              </w:rPr>
              <w:t>Дуже рідкі</w:t>
            </w:r>
          </w:p>
          <w:p w14:paraId="7C10B886" w14:textId="4ECAAC33" w:rsidR="0035789D" w:rsidRPr="007D042B" w:rsidRDefault="0035789D" w:rsidP="0035789D">
            <w:pPr>
              <w:jc w:val="both"/>
              <w:rPr>
                <w:bCs/>
                <w:sz w:val="20"/>
                <w:szCs w:val="20"/>
              </w:rPr>
            </w:pPr>
            <w:r w:rsidRPr="007D042B">
              <w:rPr>
                <w:bCs/>
                <w:sz w:val="20"/>
                <w:szCs w:val="20"/>
              </w:rPr>
              <w:t>(&gt;1 тварини /100000 оброблених тварин, включно з поодинокими випадками</w:t>
            </w:r>
          </w:p>
        </w:tc>
        <w:tc>
          <w:tcPr>
            <w:tcW w:w="5154" w:type="dxa"/>
            <w:vAlign w:val="center"/>
          </w:tcPr>
          <w:p w14:paraId="2883D50E" w14:textId="0FD435F5" w:rsidR="0035789D" w:rsidRPr="007D042B" w:rsidRDefault="0035789D" w:rsidP="0035789D">
            <w:pPr>
              <w:jc w:val="both"/>
              <w:rPr>
                <w:bCs/>
                <w:sz w:val="20"/>
                <w:szCs w:val="20"/>
              </w:rPr>
            </w:pPr>
            <w:r w:rsidRPr="007D042B">
              <w:rPr>
                <w:sz w:val="20"/>
                <w:szCs w:val="20"/>
              </w:rPr>
              <w:t>Про побічні ефекти не повідомлялося</w:t>
            </w:r>
          </w:p>
        </w:tc>
      </w:tr>
    </w:tbl>
    <w:p w14:paraId="76966546" w14:textId="77777777" w:rsidR="0035789D" w:rsidRPr="007D042B" w:rsidRDefault="0035789D" w:rsidP="00EB529D">
      <w:pPr>
        <w:jc w:val="both"/>
        <w:rPr>
          <w:bCs/>
        </w:rPr>
      </w:pPr>
    </w:p>
    <w:p w14:paraId="16C93545" w14:textId="77777777" w:rsidR="00270C14" w:rsidRPr="007D042B" w:rsidRDefault="0035789D" w:rsidP="00270C14">
      <w:r w:rsidRPr="007D042B">
        <w:rPr>
          <w:bCs/>
        </w:rPr>
        <w:t>При рекомендованому дозуванні про жодні побічні ефекти не повідомлялося.</w:t>
      </w:r>
      <w:r w:rsidR="00270C14" w:rsidRPr="007D042B">
        <w:t xml:space="preserve"> </w:t>
      </w:r>
    </w:p>
    <w:p w14:paraId="58C488EB" w14:textId="77777777" w:rsidR="00270C14" w:rsidRPr="007D042B" w:rsidRDefault="00270C14" w:rsidP="00270C14"/>
    <w:p w14:paraId="4E78181C" w14:textId="77777777" w:rsidR="00F7784E" w:rsidRPr="007D042B" w:rsidRDefault="00F7784E" w:rsidP="00270C14">
      <w:pPr>
        <w:ind w:left="6663"/>
      </w:pPr>
    </w:p>
    <w:p w14:paraId="3934C429" w14:textId="77777777" w:rsidR="00F7784E" w:rsidRPr="007D042B" w:rsidRDefault="00F7784E" w:rsidP="00F7784E">
      <w:pPr>
        <w:ind w:left="6660"/>
        <w:jc w:val="right"/>
      </w:pPr>
      <w:r w:rsidRPr="007D042B">
        <w:lastRenderedPageBreak/>
        <w:t>Продовження додатку 1</w:t>
      </w:r>
    </w:p>
    <w:p w14:paraId="38562E63" w14:textId="77777777" w:rsidR="00F7784E" w:rsidRPr="007D042B" w:rsidRDefault="00F7784E" w:rsidP="00F7784E">
      <w:pPr>
        <w:ind w:left="5103"/>
        <w:jc w:val="right"/>
      </w:pPr>
      <w:r w:rsidRPr="007D042B">
        <w:t>до реєстраційного посвідчення АА-07703-01-18</w:t>
      </w:r>
    </w:p>
    <w:p w14:paraId="40E4EB57" w14:textId="415432DF" w:rsidR="0035789D" w:rsidRPr="007D042B" w:rsidRDefault="0035789D" w:rsidP="00EB529D">
      <w:pPr>
        <w:jc w:val="both"/>
        <w:rPr>
          <w:bCs/>
        </w:rPr>
      </w:pPr>
    </w:p>
    <w:p w14:paraId="51B590AA" w14:textId="7B317463" w:rsidR="00EB529D" w:rsidRPr="007D042B" w:rsidRDefault="00EB529D" w:rsidP="00EB529D">
      <w:pPr>
        <w:jc w:val="both"/>
        <w:rPr>
          <w:b/>
        </w:rPr>
      </w:pPr>
      <w:r w:rsidRPr="007D042B">
        <w:rPr>
          <w:b/>
        </w:rPr>
        <w:t>5.5. Особливі застереження при використанні</w:t>
      </w:r>
    </w:p>
    <w:p w14:paraId="5715BDD1" w14:textId="77777777" w:rsidR="0035789D" w:rsidRPr="007D042B" w:rsidRDefault="0035789D" w:rsidP="0035789D">
      <w:pPr>
        <w:jc w:val="both"/>
        <w:rPr>
          <w:bCs/>
          <w:u w:val="single"/>
        </w:rPr>
      </w:pPr>
      <w:r w:rsidRPr="007D042B">
        <w:rPr>
          <w:bCs/>
          <w:u w:val="single"/>
        </w:rPr>
        <w:t>Особливі застереження при застосуванні тваринам</w:t>
      </w:r>
    </w:p>
    <w:p w14:paraId="781FE4DF" w14:textId="77777777" w:rsidR="0035789D" w:rsidRPr="007D042B" w:rsidRDefault="0035789D" w:rsidP="0035789D">
      <w:pPr>
        <w:jc w:val="both"/>
        <w:rPr>
          <w:bCs/>
        </w:rPr>
      </w:pPr>
      <w:r w:rsidRPr="007D042B">
        <w:rPr>
          <w:bCs/>
        </w:rPr>
        <w:t>Через відсутність відповідної інформації таблетки Каніквантел® Плюс XL не слід застосовувати вагітним тваринам, а також цуценятам та кошенятам віком до трьох тижнів.</w:t>
      </w:r>
    </w:p>
    <w:p w14:paraId="7A9C3911" w14:textId="77777777" w:rsidR="0035789D" w:rsidRPr="007D042B" w:rsidRDefault="0035789D" w:rsidP="0035789D">
      <w:pPr>
        <w:jc w:val="both"/>
        <w:rPr>
          <w:bCs/>
          <w:u w:val="single"/>
        </w:rPr>
      </w:pPr>
      <w:r w:rsidRPr="007D042B">
        <w:rPr>
          <w:bCs/>
          <w:u w:val="single"/>
        </w:rPr>
        <w:t>Особливі застереження, яких має дотримуватися особа, що застосовує ветеринарний лікарський засіб тваринам</w:t>
      </w:r>
    </w:p>
    <w:p w14:paraId="56463D55" w14:textId="77777777" w:rsidR="0035789D" w:rsidRPr="007D042B" w:rsidRDefault="0035789D" w:rsidP="0035789D">
      <w:pPr>
        <w:jc w:val="both"/>
        <w:rPr>
          <w:bCs/>
        </w:rPr>
      </w:pPr>
      <w:r w:rsidRPr="007D042B">
        <w:rPr>
          <w:bCs/>
        </w:rPr>
        <w:t>У разі випадкового самостійного застосування негайно зверніться до лікаря та покажіть йому листівку-вкладку або етикетку.</w:t>
      </w:r>
    </w:p>
    <w:p w14:paraId="65D6C119" w14:textId="5FABBEF8" w:rsidR="0035789D" w:rsidRPr="007D042B" w:rsidRDefault="0035789D" w:rsidP="0035789D">
      <w:pPr>
        <w:jc w:val="both"/>
        <w:rPr>
          <w:bCs/>
        </w:rPr>
      </w:pPr>
      <w:r w:rsidRPr="007D042B">
        <w:rPr>
          <w:bCs/>
        </w:rPr>
        <w:t>Ветеринарний препарат не слід застосовувати вагітним жінкам.</w:t>
      </w:r>
    </w:p>
    <w:p w14:paraId="3D7BB116" w14:textId="77777777" w:rsidR="00EB529D" w:rsidRPr="007D042B" w:rsidRDefault="00EB529D" w:rsidP="00EB529D">
      <w:pPr>
        <w:jc w:val="both"/>
        <w:rPr>
          <w:b/>
        </w:rPr>
      </w:pPr>
      <w:r w:rsidRPr="007D042B">
        <w:rPr>
          <w:b/>
        </w:rPr>
        <w:t>5.6. Застосування під час вагітності, лактації, несучості</w:t>
      </w:r>
    </w:p>
    <w:p w14:paraId="68D64569" w14:textId="646EE821" w:rsidR="0035789D" w:rsidRPr="007D042B" w:rsidRDefault="0035789D" w:rsidP="00EB529D">
      <w:pPr>
        <w:jc w:val="both"/>
        <w:rPr>
          <w:bCs/>
        </w:rPr>
      </w:pPr>
      <w:r w:rsidRPr="007D042B">
        <w:rPr>
          <w:bCs/>
        </w:rPr>
        <w:t>Безпечність застосування ветеринарного лікарського засобу у період вагітності та лактації не була встановлена.</w:t>
      </w:r>
    </w:p>
    <w:p w14:paraId="4D455EFA" w14:textId="77777777" w:rsidR="00EB529D" w:rsidRPr="007D042B" w:rsidRDefault="00EB529D" w:rsidP="00EB529D">
      <w:pPr>
        <w:jc w:val="both"/>
        <w:rPr>
          <w:b/>
        </w:rPr>
      </w:pPr>
      <w:r w:rsidRPr="007D042B">
        <w:rPr>
          <w:b/>
        </w:rPr>
        <w:t>5.7. Взаємодія з іншими засобами та інші форми взаємодії</w:t>
      </w:r>
    </w:p>
    <w:p w14:paraId="556593D7" w14:textId="62B3F52B" w:rsidR="00B3633F" w:rsidRPr="007D042B" w:rsidRDefault="00B3633F" w:rsidP="00B3633F">
      <w:pPr>
        <w:jc w:val="both"/>
        <w:rPr>
          <w:bCs/>
        </w:rPr>
      </w:pPr>
      <w:r w:rsidRPr="007D042B">
        <w:rPr>
          <w:bCs/>
        </w:rPr>
        <w:t>Інформація щодо безпеки та ефективності ветеринарного лікарського засобу при застосуванні з будь-якими іншими ветеринарними лікарськими засобами відсутня.</w:t>
      </w:r>
    </w:p>
    <w:p w14:paraId="1A23F706" w14:textId="77A257AE" w:rsidR="00B3633F" w:rsidRPr="007D042B" w:rsidRDefault="00B3633F" w:rsidP="00B3633F">
      <w:pPr>
        <w:jc w:val="both"/>
        <w:rPr>
          <w:bCs/>
        </w:rPr>
      </w:pPr>
      <w:r w:rsidRPr="007D042B">
        <w:rPr>
          <w:bCs/>
        </w:rPr>
        <w:t>Рішення про застосування цього ветеринарного лікарського засобу до або після будь-якого іншого ветеринарного лікарського засобу необхідно приймати в кожному конкретному випадку окремо.</w:t>
      </w:r>
    </w:p>
    <w:p w14:paraId="79596952" w14:textId="77777777" w:rsidR="00EB529D" w:rsidRPr="007D042B" w:rsidRDefault="00EB529D" w:rsidP="00EB529D">
      <w:pPr>
        <w:jc w:val="both"/>
        <w:rPr>
          <w:b/>
        </w:rPr>
      </w:pPr>
      <w:r w:rsidRPr="007D042B">
        <w:rPr>
          <w:b/>
        </w:rPr>
        <w:t>5.8. Дози і способи введення тваринам різного віку</w:t>
      </w:r>
    </w:p>
    <w:p w14:paraId="327C0478" w14:textId="61F34133" w:rsidR="00B3633F" w:rsidRPr="007D042B" w:rsidRDefault="00B3633F" w:rsidP="00B3633F">
      <w:pPr>
        <w:jc w:val="both"/>
      </w:pPr>
      <w:r w:rsidRPr="007D042B">
        <w:t>Рекомендована доза становить 5 мг празиквантелу та 50 мг фенбендазолу на 1 кг маси тіла. Це відповідає 1 таблетці Канікантел плюс XL на 20 кг маси тіла.</w:t>
      </w:r>
    </w:p>
    <w:p w14:paraId="5AC45006" w14:textId="77777777" w:rsidR="00B3633F" w:rsidRPr="007D042B" w:rsidRDefault="00B3633F" w:rsidP="00B3633F">
      <w:pPr>
        <w:jc w:val="both"/>
      </w:pPr>
      <w:r w:rsidRPr="007D042B">
        <w:t>Для забезпечення правильного дозування слід якомога точніше визначити масу тіла.</w:t>
      </w:r>
    </w:p>
    <w:p w14:paraId="383EED9E" w14:textId="478D96A0" w:rsidR="00B3633F" w:rsidRPr="007D042B" w:rsidRDefault="00B3633F" w:rsidP="00B3633F">
      <w:pPr>
        <w:jc w:val="both"/>
      </w:pPr>
      <w:r w:rsidRPr="007D042B">
        <w:t>Таблетки згодовують тваринам примусово, або з їжею. Попередньо голодної дієти або особливого режиму годівлі не вимагається.</w:t>
      </w:r>
    </w:p>
    <w:p w14:paraId="612E8E67" w14:textId="77777777" w:rsidR="00B3633F" w:rsidRPr="007D042B" w:rsidRDefault="00B3633F" w:rsidP="00B3633F">
      <w:pPr>
        <w:jc w:val="both"/>
      </w:pPr>
      <w:r w:rsidRPr="007D042B">
        <w:t>Для лікування заражених собак рекомендується повторне застосування протягом трьох днів поспіль.</w:t>
      </w:r>
    </w:p>
    <w:p w14:paraId="5219F49C" w14:textId="77777777" w:rsidR="00B3633F" w:rsidRPr="007D042B" w:rsidRDefault="00B3633F" w:rsidP="00B3633F">
      <w:pPr>
        <w:jc w:val="both"/>
      </w:pPr>
      <w:r w:rsidRPr="007D042B">
        <w:t>У разі зараження аскаридами молодих тварин повного виведення гельмінтів досягти неможливо. Тому люди, які контактують з цими тваринами, мають ризик зараження.</w:t>
      </w:r>
    </w:p>
    <w:p w14:paraId="733733D7" w14:textId="48C9F3CA" w:rsidR="00B3633F" w:rsidRPr="007D042B" w:rsidRDefault="00B3633F" w:rsidP="00B3633F">
      <w:pPr>
        <w:jc w:val="both"/>
      </w:pPr>
      <w:r w:rsidRPr="007D042B">
        <w:t>Необхідна повторна обробка з рекомендованими інтервалами.</w:t>
      </w:r>
    </w:p>
    <w:p w14:paraId="762A5A15" w14:textId="77777777" w:rsidR="00EB529D" w:rsidRPr="007D042B" w:rsidRDefault="00EB529D" w:rsidP="00EB529D">
      <w:pPr>
        <w:jc w:val="both"/>
        <w:rPr>
          <w:b/>
        </w:rPr>
      </w:pPr>
      <w:r w:rsidRPr="007D042B">
        <w:rPr>
          <w:b/>
        </w:rPr>
        <w:t>5.9. Передозування (симптоми, невідкладні заходи, антидоти)</w:t>
      </w:r>
    </w:p>
    <w:p w14:paraId="00E61A0E" w14:textId="2CA061C0" w:rsidR="008E163B" w:rsidRPr="007D042B" w:rsidRDefault="008E163B" w:rsidP="008E163B">
      <w:pPr>
        <w:jc w:val="both"/>
        <w:rPr>
          <w:bCs/>
        </w:rPr>
      </w:pPr>
      <w:r w:rsidRPr="007D042B">
        <w:rPr>
          <w:bCs/>
        </w:rPr>
        <w:t>При дослідженні переносимості собаки отримували 3- та 5-кратні передозування препарату протягом періоду лікування вдвічі більше рекомендованого.</w:t>
      </w:r>
    </w:p>
    <w:p w14:paraId="16824515" w14:textId="77777777" w:rsidR="008E163B" w:rsidRPr="007D042B" w:rsidRDefault="008E163B" w:rsidP="008E163B">
      <w:pPr>
        <w:jc w:val="both"/>
        <w:rPr>
          <w:bCs/>
        </w:rPr>
      </w:pPr>
      <w:r w:rsidRPr="007D042B">
        <w:rPr>
          <w:bCs/>
        </w:rPr>
        <w:t>Не було зафіксовано жодних небажаних явищ з точки зору клінічного або клініко-патологічного статусу.</w:t>
      </w:r>
    </w:p>
    <w:p w14:paraId="43646CC2" w14:textId="1EA100BD" w:rsidR="008E163B" w:rsidRPr="007D042B" w:rsidRDefault="008E163B" w:rsidP="008E163B">
      <w:pPr>
        <w:jc w:val="both"/>
        <w:rPr>
          <w:bCs/>
        </w:rPr>
      </w:pPr>
      <w:r w:rsidRPr="007D042B">
        <w:rPr>
          <w:bCs/>
        </w:rPr>
        <w:t>Випадкові реакції зникали через короткий час без будь-яких наслідків. Спеціального лікування тварин не потрібно.</w:t>
      </w:r>
    </w:p>
    <w:p w14:paraId="51CEDC07" w14:textId="77777777" w:rsidR="00EB529D" w:rsidRPr="007D042B" w:rsidRDefault="00EB529D" w:rsidP="00EB529D">
      <w:pPr>
        <w:jc w:val="both"/>
        <w:rPr>
          <w:b/>
        </w:rPr>
      </w:pPr>
      <w:r w:rsidRPr="007D042B">
        <w:rPr>
          <w:b/>
        </w:rPr>
        <w:t>5.10. Спеціальні застереження</w:t>
      </w:r>
    </w:p>
    <w:p w14:paraId="5FBEC2F7" w14:textId="10EBAA2C" w:rsidR="008E163B" w:rsidRPr="007D042B" w:rsidRDefault="008E163B" w:rsidP="008E163B">
      <w:pPr>
        <w:jc w:val="both"/>
        <w:rPr>
          <w:bCs/>
        </w:rPr>
      </w:pPr>
      <w:r w:rsidRPr="007D042B">
        <w:rPr>
          <w:bCs/>
        </w:rPr>
        <w:t xml:space="preserve">Для застосування тільки </w:t>
      </w:r>
      <w:r w:rsidR="00B20E5F" w:rsidRPr="007D042B">
        <w:rPr>
          <w:bCs/>
        </w:rPr>
        <w:t>у</w:t>
      </w:r>
      <w:r w:rsidRPr="007D042B">
        <w:rPr>
          <w:bCs/>
        </w:rPr>
        <w:t xml:space="preserve"> ветеринарн</w:t>
      </w:r>
      <w:r w:rsidR="00B20E5F" w:rsidRPr="007D042B">
        <w:rPr>
          <w:bCs/>
        </w:rPr>
        <w:t>ій</w:t>
      </w:r>
      <w:r w:rsidRPr="007D042B">
        <w:rPr>
          <w:bCs/>
        </w:rPr>
        <w:t xml:space="preserve"> медицин</w:t>
      </w:r>
      <w:r w:rsidR="00B20E5F" w:rsidRPr="007D042B">
        <w:rPr>
          <w:bCs/>
        </w:rPr>
        <w:t>і</w:t>
      </w:r>
      <w:r w:rsidRPr="007D042B">
        <w:rPr>
          <w:bCs/>
        </w:rPr>
        <w:t>.</w:t>
      </w:r>
    </w:p>
    <w:p w14:paraId="07DBD0E3" w14:textId="77777777" w:rsidR="00EB529D" w:rsidRPr="007D042B" w:rsidRDefault="00EB529D" w:rsidP="00EB529D">
      <w:pPr>
        <w:jc w:val="both"/>
        <w:rPr>
          <w:b/>
        </w:rPr>
      </w:pPr>
      <w:r w:rsidRPr="007D042B">
        <w:rPr>
          <w:b/>
        </w:rPr>
        <w:t>5.11. Період виведення (каренції)</w:t>
      </w:r>
    </w:p>
    <w:p w14:paraId="2FEA1FCB" w14:textId="574D998A" w:rsidR="008E163B" w:rsidRPr="007D042B" w:rsidRDefault="00C23650" w:rsidP="00EB529D">
      <w:pPr>
        <w:jc w:val="both"/>
        <w:rPr>
          <w:bCs/>
        </w:rPr>
      </w:pPr>
      <w:r w:rsidRPr="007D042B">
        <w:rPr>
          <w:bCs/>
        </w:rPr>
        <w:t>Не застосовується, таблетки Канікантел плюс XL не застосовують тваринам, які призначені для виробництва молока для споживання людиною.</w:t>
      </w:r>
    </w:p>
    <w:p w14:paraId="16E94DDD" w14:textId="77777777" w:rsidR="00EB529D" w:rsidRPr="007D042B" w:rsidRDefault="00EB529D" w:rsidP="00EB529D">
      <w:pPr>
        <w:jc w:val="both"/>
        <w:rPr>
          <w:b/>
        </w:rPr>
      </w:pPr>
      <w:r w:rsidRPr="007D042B">
        <w:rPr>
          <w:b/>
        </w:rPr>
        <w:t>5.12. Спеціальні застереження для осіб і обслуговуючого персоналу, які вводять засоби захисту тваринам</w:t>
      </w:r>
    </w:p>
    <w:p w14:paraId="6E93FF62" w14:textId="62C0705D" w:rsidR="00C23650" w:rsidRPr="007D042B" w:rsidRDefault="00C23650" w:rsidP="00EB529D">
      <w:pPr>
        <w:jc w:val="both"/>
        <w:rPr>
          <w:bCs/>
        </w:rPr>
      </w:pPr>
      <w:r w:rsidRPr="007D042B">
        <w:rPr>
          <w:bCs/>
        </w:rPr>
        <w:t>Дотримуватися загальних правил роботи з ветеринарними препаратами</w:t>
      </w:r>
      <w:r w:rsidR="00AD698F" w:rsidRPr="007D042B">
        <w:rPr>
          <w:bCs/>
        </w:rPr>
        <w:t>.</w:t>
      </w:r>
    </w:p>
    <w:p w14:paraId="0F5CD002" w14:textId="77777777" w:rsidR="00EB529D" w:rsidRPr="007D042B" w:rsidRDefault="00EB529D" w:rsidP="00EB529D">
      <w:pPr>
        <w:jc w:val="both"/>
        <w:rPr>
          <w:i/>
        </w:rPr>
      </w:pPr>
      <w:r w:rsidRPr="007D042B">
        <w:rPr>
          <w:b/>
        </w:rPr>
        <w:t>6. Фармацевтичні особливості</w:t>
      </w:r>
    </w:p>
    <w:p w14:paraId="76A4A375" w14:textId="77777777" w:rsidR="00EB529D" w:rsidRPr="007D042B" w:rsidRDefault="00EB529D" w:rsidP="00EB529D">
      <w:pPr>
        <w:jc w:val="both"/>
        <w:rPr>
          <w:b/>
        </w:rPr>
      </w:pPr>
      <w:r w:rsidRPr="007D042B">
        <w:rPr>
          <w:b/>
        </w:rPr>
        <w:t>6.1. Основні форми несумісності</w:t>
      </w:r>
    </w:p>
    <w:p w14:paraId="1B01CF57" w14:textId="1236FD4B" w:rsidR="00AD698F" w:rsidRPr="007D042B" w:rsidRDefault="00AD698F" w:rsidP="00EB529D">
      <w:pPr>
        <w:jc w:val="both"/>
        <w:rPr>
          <w:bCs/>
        </w:rPr>
      </w:pPr>
      <w:r w:rsidRPr="007D042B">
        <w:rPr>
          <w:bCs/>
        </w:rPr>
        <w:t>Не відомі</w:t>
      </w:r>
    </w:p>
    <w:p w14:paraId="251FAB54" w14:textId="77777777" w:rsidR="00EB529D" w:rsidRPr="007D042B" w:rsidRDefault="00EB529D" w:rsidP="00EB529D">
      <w:pPr>
        <w:jc w:val="both"/>
        <w:rPr>
          <w:b/>
        </w:rPr>
      </w:pPr>
      <w:r w:rsidRPr="007D042B">
        <w:rPr>
          <w:b/>
        </w:rPr>
        <w:t>6.2. Термін придатності</w:t>
      </w:r>
    </w:p>
    <w:p w14:paraId="2BC644FB" w14:textId="7DC6E809" w:rsidR="00AD698F" w:rsidRPr="007D042B" w:rsidRDefault="00AD698F" w:rsidP="00EB529D">
      <w:pPr>
        <w:jc w:val="both"/>
        <w:rPr>
          <w:bCs/>
          <w:i/>
        </w:rPr>
      </w:pPr>
      <w:r w:rsidRPr="007D042B">
        <w:rPr>
          <w:bCs/>
        </w:rPr>
        <w:t>Термін придатності ветеринарного препарату в оригінальній упаковці: 48 місяців (4 роки).</w:t>
      </w:r>
    </w:p>
    <w:p w14:paraId="4AFC77AD" w14:textId="77777777" w:rsidR="00EB529D" w:rsidRPr="007D042B" w:rsidRDefault="00EB529D" w:rsidP="00EB529D">
      <w:pPr>
        <w:jc w:val="both"/>
        <w:rPr>
          <w:b/>
        </w:rPr>
      </w:pPr>
      <w:r w:rsidRPr="007D042B">
        <w:rPr>
          <w:b/>
        </w:rPr>
        <w:t>6.3. Особливі застереження щодо зберігання</w:t>
      </w:r>
    </w:p>
    <w:p w14:paraId="43BA4839" w14:textId="5EC05F33" w:rsidR="00AD698F" w:rsidRPr="007D042B" w:rsidRDefault="00AD698F" w:rsidP="00EB529D">
      <w:pPr>
        <w:jc w:val="both"/>
        <w:rPr>
          <w:bCs/>
        </w:rPr>
      </w:pPr>
      <w:r w:rsidRPr="007D042B">
        <w:rPr>
          <w:bCs/>
        </w:rPr>
        <w:t>Зберігати при температурі не вище 25</w:t>
      </w:r>
      <w:r w:rsidR="00F267D3" w:rsidRPr="007D042B">
        <w:rPr>
          <w:bCs/>
        </w:rPr>
        <w:t xml:space="preserve"> </w:t>
      </w:r>
      <w:r w:rsidRPr="007D042B">
        <w:rPr>
          <w:bCs/>
        </w:rPr>
        <w:t>°С.</w:t>
      </w:r>
    </w:p>
    <w:p w14:paraId="5222487E" w14:textId="33593855" w:rsidR="00AD698F" w:rsidRPr="007D042B" w:rsidRDefault="00AD698F" w:rsidP="00EB529D">
      <w:pPr>
        <w:jc w:val="both"/>
        <w:rPr>
          <w:bCs/>
        </w:rPr>
      </w:pPr>
      <w:r w:rsidRPr="007D042B">
        <w:rPr>
          <w:bCs/>
        </w:rPr>
        <w:t>Не допускати попадання світла.</w:t>
      </w:r>
    </w:p>
    <w:p w14:paraId="2E4997B6" w14:textId="77777777" w:rsidR="00270C14" w:rsidRPr="007D042B" w:rsidRDefault="00270C14" w:rsidP="00EB529D">
      <w:pPr>
        <w:jc w:val="both"/>
        <w:rPr>
          <w:bCs/>
        </w:rPr>
      </w:pPr>
    </w:p>
    <w:p w14:paraId="423F9F13" w14:textId="77777777" w:rsidR="00270C14" w:rsidRPr="007D042B" w:rsidRDefault="00270C14" w:rsidP="00EB529D">
      <w:pPr>
        <w:jc w:val="both"/>
        <w:rPr>
          <w:bCs/>
        </w:rPr>
      </w:pPr>
    </w:p>
    <w:p w14:paraId="5D3E6F78" w14:textId="77777777" w:rsidR="00F7784E" w:rsidRPr="007D042B" w:rsidRDefault="00F7784E" w:rsidP="00EB529D">
      <w:pPr>
        <w:jc w:val="both"/>
        <w:rPr>
          <w:b/>
        </w:rPr>
      </w:pPr>
    </w:p>
    <w:p w14:paraId="7E6F33A5" w14:textId="77777777" w:rsidR="00F7784E" w:rsidRPr="007D042B" w:rsidRDefault="00F7784E" w:rsidP="00F7784E">
      <w:pPr>
        <w:ind w:left="6660"/>
        <w:jc w:val="right"/>
      </w:pPr>
      <w:r w:rsidRPr="007D042B">
        <w:t>Продовження додатку 1</w:t>
      </w:r>
    </w:p>
    <w:p w14:paraId="0B1D2D4B" w14:textId="77777777" w:rsidR="00F7784E" w:rsidRPr="007D042B" w:rsidRDefault="00F7784E" w:rsidP="00F7784E">
      <w:pPr>
        <w:ind w:left="5103"/>
        <w:jc w:val="right"/>
      </w:pPr>
      <w:r w:rsidRPr="007D042B">
        <w:t>до реєстраційного посвідчення АА-07703-01-18</w:t>
      </w:r>
    </w:p>
    <w:p w14:paraId="3F4730D3" w14:textId="77777777" w:rsidR="00F7784E" w:rsidRPr="007D042B" w:rsidRDefault="00F7784E" w:rsidP="00EB529D">
      <w:pPr>
        <w:jc w:val="both"/>
        <w:rPr>
          <w:b/>
        </w:rPr>
      </w:pPr>
    </w:p>
    <w:p w14:paraId="2928ED83" w14:textId="77777777" w:rsidR="00F7784E" w:rsidRPr="007D042B" w:rsidRDefault="00F7784E" w:rsidP="00EB529D">
      <w:pPr>
        <w:jc w:val="both"/>
        <w:rPr>
          <w:b/>
        </w:rPr>
      </w:pPr>
    </w:p>
    <w:p w14:paraId="52881099" w14:textId="07CE5DE1" w:rsidR="00EB529D" w:rsidRPr="007D042B" w:rsidRDefault="00EB529D" w:rsidP="00EB529D">
      <w:pPr>
        <w:jc w:val="both"/>
        <w:rPr>
          <w:b/>
        </w:rPr>
      </w:pPr>
      <w:r w:rsidRPr="007D042B">
        <w:rPr>
          <w:b/>
        </w:rPr>
        <w:t>6.4. Природа і склад контейнера пак</w:t>
      </w:r>
      <w:r w:rsidR="00AD698F" w:rsidRPr="007D042B">
        <w:rPr>
          <w:b/>
        </w:rPr>
        <w:t>у</w:t>
      </w:r>
      <w:r w:rsidRPr="007D042B">
        <w:rPr>
          <w:b/>
        </w:rPr>
        <w:t>вання</w:t>
      </w:r>
    </w:p>
    <w:p w14:paraId="02122958" w14:textId="7490EF16" w:rsidR="00AD698F" w:rsidRPr="007D042B" w:rsidRDefault="00AD698F" w:rsidP="00EB529D">
      <w:pPr>
        <w:jc w:val="both"/>
        <w:rPr>
          <w:bCs/>
        </w:rPr>
      </w:pPr>
      <w:r w:rsidRPr="007D042B">
        <w:rPr>
          <w:bCs/>
        </w:rPr>
        <w:t>Блістер ПВХ, вкритий алюмінієвою фольгою, що містить 3 таблетки.</w:t>
      </w:r>
    </w:p>
    <w:p w14:paraId="125047D9" w14:textId="77777777" w:rsidR="00AD698F" w:rsidRPr="007D042B" w:rsidRDefault="00AD698F" w:rsidP="00AD698F">
      <w:pPr>
        <w:jc w:val="both"/>
        <w:rPr>
          <w:bCs/>
        </w:rPr>
      </w:pPr>
      <w:r w:rsidRPr="007D042B">
        <w:rPr>
          <w:bCs/>
        </w:rPr>
        <w:t>Коробка з картону, що містить 8 блістерів по 3 таблетки.</w:t>
      </w:r>
    </w:p>
    <w:p w14:paraId="5ED72617" w14:textId="77777777" w:rsidR="007D042B" w:rsidRPr="007D042B" w:rsidRDefault="00AD698F" w:rsidP="007D042B">
      <w:pPr>
        <w:jc w:val="both"/>
        <w:rPr>
          <w:b/>
        </w:rPr>
      </w:pPr>
      <w:r w:rsidRPr="007D042B">
        <w:rPr>
          <w:bCs/>
        </w:rPr>
        <w:t>Металева коробка, що містить 40 блістерів по 3 таблетки.</w:t>
      </w:r>
      <w:r w:rsidR="007D042B" w:rsidRPr="007D042B">
        <w:rPr>
          <w:b/>
        </w:rPr>
        <w:t xml:space="preserve"> </w:t>
      </w:r>
    </w:p>
    <w:p w14:paraId="17ABB04C" w14:textId="0626FB7E" w:rsidR="007D042B" w:rsidRPr="007D042B" w:rsidRDefault="007D042B" w:rsidP="007D042B">
      <w:pPr>
        <w:jc w:val="both"/>
        <w:rPr>
          <w:b/>
        </w:rPr>
      </w:pPr>
      <w:r w:rsidRPr="007D042B">
        <w:rPr>
          <w:b/>
        </w:rPr>
        <w:t>6.5</w:t>
      </w:r>
      <w:r w:rsidRPr="007D042B">
        <w:rPr>
          <w:b/>
        </w:rPr>
        <w:t>. Особливі заходи безпеки при поводженні з невикористаним засобом</w:t>
      </w:r>
    </w:p>
    <w:p w14:paraId="30971420" w14:textId="77777777" w:rsidR="007D042B" w:rsidRPr="007D042B" w:rsidRDefault="007D042B" w:rsidP="007D042B">
      <w:pPr>
        <w:jc w:val="both"/>
        <w:rPr>
          <w:bCs/>
        </w:rPr>
      </w:pPr>
      <w:r w:rsidRPr="007D042B">
        <w:rPr>
          <w:bCs/>
        </w:rPr>
        <w:t>Будь-який невикористаний ветеринарний лікарський засіб або відходи, отримані з нього, слід утилізувати відповідно до місцевих вимог.</w:t>
      </w:r>
    </w:p>
    <w:p w14:paraId="2EEBD22A" w14:textId="77777777" w:rsidR="007D042B" w:rsidRPr="007D042B" w:rsidRDefault="007D042B" w:rsidP="007D042B">
      <w:pPr>
        <w:jc w:val="both"/>
        <w:rPr>
          <w:bCs/>
        </w:rPr>
      </w:pPr>
      <w:r w:rsidRPr="007D042B">
        <w:rPr>
          <w:bCs/>
        </w:rPr>
        <w:t>Лікарські засоби не можна утилізувати через стічні води.</w:t>
      </w:r>
    </w:p>
    <w:p w14:paraId="48F194E0" w14:textId="03EC26D0" w:rsidR="00EB529D" w:rsidRPr="007D042B" w:rsidRDefault="007D042B" w:rsidP="00EB529D">
      <w:pPr>
        <w:jc w:val="both"/>
        <w:rPr>
          <w:b/>
        </w:rPr>
      </w:pPr>
      <w:r w:rsidRPr="007D042B">
        <w:rPr>
          <w:b/>
        </w:rPr>
        <w:t>7</w:t>
      </w:r>
      <w:r w:rsidR="00EB529D" w:rsidRPr="007D042B">
        <w:rPr>
          <w:b/>
        </w:rPr>
        <w:t>. Назва та місцезнах</w:t>
      </w:r>
      <w:bookmarkStart w:id="0" w:name="_GoBack"/>
      <w:bookmarkEnd w:id="0"/>
      <w:r w:rsidR="00EB529D" w:rsidRPr="007D042B">
        <w:rPr>
          <w:b/>
        </w:rPr>
        <w:t>одження власника реєстраційного посвідчення</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3"/>
        <w:gridCol w:w="5154"/>
      </w:tblGrid>
      <w:tr w:rsidR="00AD698F" w:rsidRPr="007D042B" w14:paraId="32ECAE76" w14:textId="77777777" w:rsidTr="00AD698F">
        <w:tc>
          <w:tcPr>
            <w:tcW w:w="5153" w:type="dxa"/>
          </w:tcPr>
          <w:p w14:paraId="24F90249" w14:textId="77777777" w:rsidR="00AD698F" w:rsidRPr="007D042B" w:rsidRDefault="00AD698F" w:rsidP="00AD698F">
            <w:pPr>
              <w:pStyle w:val="HTML"/>
              <w:jc w:val="both"/>
              <w:rPr>
                <w:rFonts w:ascii="Times New Roman" w:hAnsi="Times New Roman" w:cs="Times New Roman"/>
                <w:sz w:val="24"/>
                <w:szCs w:val="24"/>
                <w:lang w:val="uk-UA"/>
              </w:rPr>
            </w:pPr>
            <w:r w:rsidRPr="007D042B">
              <w:rPr>
                <w:rFonts w:ascii="Times New Roman" w:hAnsi="Times New Roman" w:cs="Times New Roman"/>
                <w:sz w:val="24"/>
                <w:szCs w:val="24"/>
                <w:lang w:val="uk-UA"/>
              </w:rPr>
              <w:t>ЛОКСАВЕТ фарма ГмбХ</w:t>
            </w:r>
          </w:p>
          <w:p w14:paraId="7FD97093" w14:textId="77777777" w:rsidR="00AD698F" w:rsidRPr="007D042B" w:rsidRDefault="00AD698F" w:rsidP="00AD698F">
            <w:pPr>
              <w:pStyle w:val="HTML"/>
              <w:jc w:val="both"/>
              <w:rPr>
                <w:rFonts w:ascii="Times New Roman" w:hAnsi="Times New Roman" w:cs="Times New Roman"/>
                <w:sz w:val="24"/>
                <w:szCs w:val="24"/>
                <w:lang w:val="uk-UA"/>
              </w:rPr>
            </w:pPr>
            <w:r w:rsidRPr="007D042B">
              <w:rPr>
                <w:rFonts w:ascii="Times New Roman" w:hAnsi="Times New Roman" w:cs="Times New Roman"/>
                <w:sz w:val="24"/>
                <w:szCs w:val="24"/>
                <w:lang w:val="uk-UA"/>
              </w:rPr>
              <w:t xml:space="preserve">Макс-Планк-Штрасе 11 </w:t>
            </w:r>
          </w:p>
          <w:p w14:paraId="53C0B13C" w14:textId="77777777" w:rsidR="00AD698F" w:rsidRPr="007D042B" w:rsidRDefault="00AD698F" w:rsidP="00AD698F">
            <w:pPr>
              <w:pStyle w:val="HTML"/>
              <w:jc w:val="both"/>
              <w:rPr>
                <w:rFonts w:ascii="Times New Roman" w:hAnsi="Times New Roman" w:cs="Times New Roman"/>
                <w:sz w:val="24"/>
                <w:szCs w:val="24"/>
                <w:lang w:val="uk-UA"/>
              </w:rPr>
            </w:pPr>
            <w:r w:rsidRPr="007D042B">
              <w:rPr>
                <w:rFonts w:ascii="Times New Roman" w:hAnsi="Times New Roman" w:cs="Times New Roman"/>
                <w:sz w:val="24"/>
                <w:szCs w:val="24"/>
                <w:lang w:val="uk-UA"/>
              </w:rPr>
              <w:t>Д-85716 Унтершляйсхайм,Німеччина</w:t>
            </w:r>
          </w:p>
          <w:p w14:paraId="225C3220" w14:textId="77777777" w:rsidR="00AD698F" w:rsidRPr="007D042B" w:rsidRDefault="00AD698F" w:rsidP="00AD698F">
            <w:pPr>
              <w:pStyle w:val="HTML"/>
              <w:jc w:val="both"/>
              <w:rPr>
                <w:rFonts w:ascii="Times New Roman" w:hAnsi="Times New Roman" w:cs="Times New Roman"/>
                <w:sz w:val="24"/>
                <w:szCs w:val="24"/>
                <w:lang w:val="uk-UA"/>
              </w:rPr>
            </w:pPr>
            <w:r w:rsidRPr="007D042B">
              <w:rPr>
                <w:rFonts w:ascii="Times New Roman" w:hAnsi="Times New Roman" w:cs="Times New Roman"/>
                <w:sz w:val="24"/>
                <w:szCs w:val="24"/>
                <w:lang w:val="uk-UA"/>
              </w:rPr>
              <w:t>0049-89-88-90 01 90</w:t>
            </w:r>
          </w:p>
          <w:p w14:paraId="45FBBB9C" w14:textId="77777777" w:rsidR="00AD698F" w:rsidRPr="007D042B" w:rsidRDefault="00AD698F" w:rsidP="00AD698F">
            <w:pPr>
              <w:pStyle w:val="HTML"/>
              <w:jc w:val="both"/>
              <w:rPr>
                <w:rFonts w:ascii="Times New Roman" w:hAnsi="Times New Roman" w:cs="Times New Roman"/>
                <w:sz w:val="24"/>
                <w:szCs w:val="24"/>
                <w:lang w:val="uk-UA"/>
              </w:rPr>
            </w:pPr>
            <w:r w:rsidRPr="007D042B">
              <w:rPr>
                <w:rFonts w:ascii="Times New Roman" w:hAnsi="Times New Roman" w:cs="Times New Roman"/>
                <w:sz w:val="24"/>
                <w:szCs w:val="24"/>
                <w:lang w:val="uk-UA"/>
              </w:rPr>
              <w:t>0049-89-88-90 01 91</w:t>
            </w:r>
          </w:p>
          <w:p w14:paraId="33F66045" w14:textId="11079B99" w:rsidR="00AD698F" w:rsidRPr="007D042B" w:rsidRDefault="0082082F" w:rsidP="00AD698F">
            <w:pPr>
              <w:pStyle w:val="HTML"/>
              <w:jc w:val="both"/>
              <w:rPr>
                <w:rFonts w:ascii="Times New Roman" w:hAnsi="Times New Roman" w:cs="Times New Roman"/>
                <w:sz w:val="24"/>
                <w:szCs w:val="24"/>
              </w:rPr>
            </w:pPr>
            <w:hyperlink r:id="rId7" w:history="1">
              <w:r w:rsidR="00B20E5F" w:rsidRPr="007D042B">
                <w:rPr>
                  <w:rStyle w:val="ac"/>
                  <w:rFonts w:ascii="Times New Roman" w:hAnsi="Times New Roman" w:cs="Times New Roman"/>
                  <w:sz w:val="24"/>
                  <w:szCs w:val="24"/>
                  <w:lang w:val="en-US"/>
                </w:rPr>
                <w:t>info</w:t>
              </w:r>
              <w:r w:rsidR="00B20E5F" w:rsidRPr="007D042B">
                <w:rPr>
                  <w:rStyle w:val="ac"/>
                  <w:rFonts w:ascii="Times New Roman" w:hAnsi="Times New Roman" w:cs="Times New Roman"/>
                  <w:sz w:val="24"/>
                  <w:szCs w:val="24"/>
                </w:rPr>
                <w:t>@</w:t>
              </w:r>
              <w:r w:rsidR="00B20E5F" w:rsidRPr="007D042B">
                <w:rPr>
                  <w:rStyle w:val="ac"/>
                  <w:rFonts w:ascii="Times New Roman" w:hAnsi="Times New Roman" w:cs="Times New Roman"/>
                  <w:sz w:val="24"/>
                  <w:szCs w:val="24"/>
                  <w:lang w:val="en-US"/>
                </w:rPr>
                <w:t>loxavet</w:t>
              </w:r>
              <w:r w:rsidR="00B20E5F" w:rsidRPr="007D042B">
                <w:rPr>
                  <w:rStyle w:val="ac"/>
                  <w:rFonts w:ascii="Times New Roman" w:hAnsi="Times New Roman" w:cs="Times New Roman"/>
                  <w:sz w:val="24"/>
                  <w:szCs w:val="24"/>
                </w:rPr>
                <w:t>.</w:t>
              </w:r>
              <w:r w:rsidR="00B20E5F" w:rsidRPr="007D042B">
                <w:rPr>
                  <w:rStyle w:val="ac"/>
                  <w:rFonts w:ascii="Times New Roman" w:hAnsi="Times New Roman" w:cs="Times New Roman"/>
                  <w:sz w:val="24"/>
                  <w:szCs w:val="24"/>
                  <w:lang w:val="en-US"/>
                </w:rPr>
                <w:t>com</w:t>
              </w:r>
            </w:hyperlink>
          </w:p>
        </w:tc>
        <w:tc>
          <w:tcPr>
            <w:tcW w:w="5154" w:type="dxa"/>
          </w:tcPr>
          <w:p w14:paraId="031C2FE7" w14:textId="77777777" w:rsidR="00AD698F" w:rsidRPr="007D042B" w:rsidRDefault="00AD698F" w:rsidP="00AD698F">
            <w:pPr>
              <w:pStyle w:val="Default"/>
              <w:rPr>
                <w:sz w:val="23"/>
                <w:szCs w:val="23"/>
                <w:lang w:val="en-US"/>
              </w:rPr>
            </w:pPr>
            <w:r w:rsidRPr="007D042B">
              <w:rPr>
                <w:sz w:val="23"/>
                <w:szCs w:val="23"/>
                <w:lang w:val="en-US"/>
              </w:rPr>
              <w:t xml:space="preserve">LOXAVET pharma GmbH </w:t>
            </w:r>
          </w:p>
          <w:p w14:paraId="6B6656C1" w14:textId="77777777" w:rsidR="00AD698F" w:rsidRPr="007D042B" w:rsidRDefault="00AD698F" w:rsidP="00AD698F">
            <w:pPr>
              <w:pStyle w:val="Default"/>
              <w:rPr>
                <w:sz w:val="23"/>
                <w:szCs w:val="23"/>
                <w:lang w:val="en-US"/>
              </w:rPr>
            </w:pPr>
            <w:r w:rsidRPr="007D042B">
              <w:rPr>
                <w:sz w:val="23"/>
                <w:szCs w:val="23"/>
                <w:lang w:val="en-US"/>
              </w:rPr>
              <w:t xml:space="preserve">Max-Planck-Strasse 11 </w:t>
            </w:r>
          </w:p>
          <w:p w14:paraId="501B1FE7" w14:textId="77777777" w:rsidR="00AD698F" w:rsidRPr="007D042B" w:rsidRDefault="00AD698F" w:rsidP="00AD698F">
            <w:pPr>
              <w:pStyle w:val="Default"/>
              <w:rPr>
                <w:sz w:val="23"/>
                <w:szCs w:val="23"/>
                <w:lang w:val="en-US"/>
              </w:rPr>
            </w:pPr>
            <w:r w:rsidRPr="007D042B">
              <w:rPr>
                <w:sz w:val="23"/>
                <w:szCs w:val="23"/>
                <w:lang w:val="en-US"/>
              </w:rPr>
              <w:t xml:space="preserve">D-85716 Unterschleissheim / Germany </w:t>
            </w:r>
          </w:p>
          <w:p w14:paraId="3BA3C027" w14:textId="77777777" w:rsidR="00AD698F" w:rsidRPr="007D042B" w:rsidRDefault="00AD698F" w:rsidP="00AD698F">
            <w:pPr>
              <w:pStyle w:val="Default"/>
              <w:rPr>
                <w:sz w:val="23"/>
                <w:szCs w:val="23"/>
                <w:lang w:val="en-US"/>
              </w:rPr>
            </w:pPr>
            <w:r w:rsidRPr="007D042B">
              <w:rPr>
                <w:sz w:val="23"/>
                <w:szCs w:val="23"/>
                <w:lang w:val="en-US"/>
              </w:rPr>
              <w:t xml:space="preserve">+49 (0) 89 88 90 01 90 </w:t>
            </w:r>
          </w:p>
          <w:p w14:paraId="140F6CD7" w14:textId="77777777" w:rsidR="00AD698F" w:rsidRPr="007D042B" w:rsidRDefault="00AD698F" w:rsidP="00AD698F">
            <w:pPr>
              <w:pStyle w:val="Default"/>
              <w:rPr>
                <w:sz w:val="23"/>
                <w:szCs w:val="23"/>
                <w:lang w:val="en-US"/>
              </w:rPr>
            </w:pPr>
            <w:r w:rsidRPr="007D042B">
              <w:rPr>
                <w:sz w:val="23"/>
                <w:szCs w:val="23"/>
                <w:lang w:val="en-US"/>
              </w:rPr>
              <w:t xml:space="preserve">+49 (0) 89 88 90 01 91 </w:t>
            </w:r>
          </w:p>
          <w:p w14:paraId="0DD802B6" w14:textId="2ECF3153" w:rsidR="00AD698F" w:rsidRPr="007D042B" w:rsidRDefault="00AD698F" w:rsidP="00AD698F">
            <w:pPr>
              <w:jc w:val="both"/>
              <w:rPr>
                <w:b/>
              </w:rPr>
            </w:pPr>
            <w:r w:rsidRPr="007D042B">
              <w:rPr>
                <w:sz w:val="23"/>
                <w:szCs w:val="23"/>
              </w:rPr>
              <w:t>info@loxavet.com</w:t>
            </w:r>
          </w:p>
        </w:tc>
      </w:tr>
    </w:tbl>
    <w:p w14:paraId="76E9204D" w14:textId="429335AF" w:rsidR="00EB529D" w:rsidRPr="007D042B" w:rsidRDefault="007D042B" w:rsidP="00EB529D">
      <w:pPr>
        <w:jc w:val="both"/>
        <w:rPr>
          <w:b/>
        </w:rPr>
      </w:pPr>
      <w:r w:rsidRPr="007D042B">
        <w:rPr>
          <w:b/>
        </w:rPr>
        <w:t>8</w:t>
      </w:r>
      <w:r w:rsidR="00EB529D" w:rsidRPr="007D042B">
        <w:rPr>
          <w:b/>
        </w:rPr>
        <w:t>. Назва та місцезнаходження виробника (виробників)</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3"/>
        <w:gridCol w:w="5154"/>
      </w:tblGrid>
      <w:tr w:rsidR="00A06A88" w:rsidRPr="007D042B" w14:paraId="3FBDE922" w14:textId="77777777" w:rsidTr="00A06A88">
        <w:tc>
          <w:tcPr>
            <w:tcW w:w="5153" w:type="dxa"/>
          </w:tcPr>
          <w:p w14:paraId="73A5826F" w14:textId="2C3EE960" w:rsidR="00A06A88" w:rsidRPr="007D042B" w:rsidRDefault="00A06A88" w:rsidP="00A06A88">
            <w:pPr>
              <w:pStyle w:val="HTML"/>
              <w:jc w:val="both"/>
              <w:rPr>
                <w:rFonts w:ascii="Times New Roman" w:hAnsi="Times New Roman" w:cs="Times New Roman"/>
                <w:sz w:val="24"/>
                <w:szCs w:val="24"/>
                <w:lang w:val="uk-UA"/>
              </w:rPr>
            </w:pPr>
            <w:r w:rsidRPr="007D042B">
              <w:rPr>
                <w:rFonts w:ascii="Times New Roman" w:hAnsi="Times New Roman" w:cs="Times New Roman"/>
                <w:sz w:val="24"/>
                <w:szCs w:val="24"/>
                <w:lang w:val="uk-UA"/>
              </w:rPr>
              <w:t xml:space="preserve">ПАСТЕУР </w:t>
            </w:r>
            <w:r w:rsidR="007D042B" w:rsidRPr="007D042B">
              <w:rPr>
                <w:rFonts w:ascii="Times New Roman" w:hAnsi="Times New Roman" w:cs="Times New Roman"/>
                <w:sz w:val="24"/>
                <w:szCs w:val="24"/>
                <w:lang w:val="uk-UA"/>
              </w:rPr>
              <w:t>ФІЛІАЛА ФІЛІПЕСТІ</w:t>
            </w:r>
            <w:r w:rsidRPr="007D042B">
              <w:rPr>
                <w:rFonts w:ascii="Times New Roman" w:hAnsi="Times New Roman" w:cs="Times New Roman"/>
                <w:sz w:val="24"/>
                <w:szCs w:val="24"/>
                <w:lang w:val="uk-UA"/>
              </w:rPr>
              <w:t xml:space="preserve"> </w:t>
            </w:r>
            <w:r w:rsidRPr="007D042B">
              <w:rPr>
                <w:rFonts w:ascii="Times New Roman" w:hAnsi="Times New Roman" w:cs="Times New Roman"/>
                <w:sz w:val="24"/>
                <w:szCs w:val="24"/>
                <w:lang w:val="en-US"/>
              </w:rPr>
              <w:t>C</w:t>
            </w:r>
            <w:r w:rsidRPr="007D042B">
              <w:rPr>
                <w:rFonts w:ascii="Times New Roman" w:hAnsi="Times New Roman" w:cs="Times New Roman"/>
                <w:sz w:val="24"/>
                <w:szCs w:val="24"/>
                <w:lang w:val="uk-UA"/>
              </w:rPr>
              <w:t xml:space="preserve">. </w:t>
            </w:r>
            <w:r w:rsidR="0072791C" w:rsidRPr="007D042B">
              <w:rPr>
                <w:rFonts w:ascii="Times New Roman" w:hAnsi="Times New Roman" w:cs="Times New Roman"/>
                <w:sz w:val="24"/>
                <w:szCs w:val="24"/>
                <w:lang w:val="uk-UA"/>
              </w:rPr>
              <w:t>А</w:t>
            </w:r>
            <w:r w:rsidRPr="007D042B">
              <w:rPr>
                <w:rFonts w:ascii="Times New Roman" w:hAnsi="Times New Roman" w:cs="Times New Roman"/>
                <w:sz w:val="24"/>
                <w:szCs w:val="24"/>
                <w:lang w:val="uk-UA"/>
              </w:rPr>
              <w:t>.</w:t>
            </w:r>
          </w:p>
          <w:p w14:paraId="2A347805" w14:textId="0D697950" w:rsidR="00A06A88" w:rsidRPr="007D042B" w:rsidRDefault="007D042B" w:rsidP="00A06A88">
            <w:pPr>
              <w:pStyle w:val="HTML"/>
              <w:jc w:val="both"/>
              <w:rPr>
                <w:rFonts w:ascii="Times New Roman" w:hAnsi="Times New Roman" w:cs="Times New Roman"/>
                <w:sz w:val="24"/>
                <w:szCs w:val="24"/>
                <w:lang w:val="uk-UA"/>
              </w:rPr>
            </w:pPr>
            <w:r w:rsidRPr="007D042B">
              <w:rPr>
                <w:rFonts w:ascii="Times New Roman" w:hAnsi="Times New Roman" w:cs="Times New Roman"/>
                <w:sz w:val="24"/>
                <w:szCs w:val="24"/>
                <w:lang w:val="uk-UA"/>
              </w:rPr>
              <w:t xml:space="preserve">вул. Прінсіпала, 944, </w:t>
            </w:r>
            <w:r w:rsidR="00A06A88" w:rsidRPr="007D042B">
              <w:rPr>
                <w:rFonts w:ascii="Times New Roman" w:hAnsi="Times New Roman" w:cs="Times New Roman"/>
                <w:sz w:val="24"/>
                <w:szCs w:val="24"/>
                <w:lang w:val="uk-UA"/>
              </w:rPr>
              <w:t xml:space="preserve">Філіпесті де Падуре, </w:t>
            </w:r>
            <w:r w:rsidRPr="007D042B">
              <w:rPr>
                <w:rFonts w:ascii="Times New Roman" w:hAnsi="Times New Roman" w:cs="Times New Roman"/>
                <w:sz w:val="24"/>
                <w:szCs w:val="24"/>
                <w:lang w:val="uk-UA"/>
              </w:rPr>
              <w:t xml:space="preserve">район Прагова, </w:t>
            </w:r>
            <w:r w:rsidR="00A06A88" w:rsidRPr="007D042B">
              <w:rPr>
                <w:rFonts w:ascii="Times New Roman" w:hAnsi="Times New Roman" w:cs="Times New Roman"/>
                <w:sz w:val="24"/>
                <w:szCs w:val="24"/>
                <w:lang w:val="uk-UA"/>
              </w:rPr>
              <w:t>Румунія</w:t>
            </w:r>
          </w:p>
          <w:p w14:paraId="53D5DBB5" w14:textId="39ED23CB" w:rsidR="00A06A88" w:rsidRPr="007D042B" w:rsidRDefault="00A06A88" w:rsidP="00A06A88">
            <w:pPr>
              <w:pStyle w:val="HTML"/>
              <w:jc w:val="both"/>
              <w:rPr>
                <w:rFonts w:ascii="Times New Roman" w:hAnsi="Times New Roman" w:cs="Times New Roman"/>
                <w:sz w:val="24"/>
                <w:szCs w:val="24"/>
                <w:lang w:val="uk-UA"/>
              </w:rPr>
            </w:pPr>
            <w:r w:rsidRPr="007D042B">
              <w:rPr>
                <w:rFonts w:ascii="Times New Roman" w:hAnsi="Times New Roman" w:cs="Times New Roman"/>
                <w:sz w:val="24"/>
                <w:szCs w:val="24"/>
                <w:lang w:val="uk-UA"/>
              </w:rPr>
              <w:t>+40 745 102 945</w:t>
            </w:r>
          </w:p>
          <w:p w14:paraId="774826FA" w14:textId="1B08C522" w:rsidR="00A06A88" w:rsidRPr="007D042B" w:rsidRDefault="0082082F" w:rsidP="00A06A88">
            <w:pPr>
              <w:pStyle w:val="HTML"/>
              <w:jc w:val="both"/>
              <w:rPr>
                <w:rFonts w:ascii="Times New Roman" w:hAnsi="Times New Roman" w:cs="Times New Roman"/>
                <w:sz w:val="24"/>
                <w:szCs w:val="24"/>
                <w:lang w:val="en-US"/>
              </w:rPr>
            </w:pPr>
            <w:hyperlink r:id="rId8" w:history="1">
              <w:r w:rsidR="00A06A88" w:rsidRPr="007D042B">
                <w:rPr>
                  <w:rStyle w:val="ac"/>
                  <w:rFonts w:ascii="Times New Roman" w:hAnsi="Times New Roman" w:cs="Times New Roman"/>
                  <w:sz w:val="24"/>
                  <w:szCs w:val="24"/>
                  <w:lang w:val="en-US"/>
                </w:rPr>
                <w:t>petra.zaharia@farmavet.ro</w:t>
              </w:r>
            </w:hyperlink>
          </w:p>
        </w:tc>
        <w:tc>
          <w:tcPr>
            <w:tcW w:w="5154" w:type="dxa"/>
          </w:tcPr>
          <w:p w14:paraId="412C7E60" w14:textId="1CC333CD" w:rsidR="00A06A88" w:rsidRPr="007D042B" w:rsidRDefault="00A06A88" w:rsidP="00A06A88">
            <w:pPr>
              <w:pStyle w:val="2"/>
              <w:numPr>
                <w:ilvl w:val="0"/>
                <w:numId w:val="0"/>
              </w:numPr>
              <w:shd w:val="clear" w:color="auto" w:fill="FFFFFF"/>
              <w:ind w:left="576" w:hanging="576"/>
              <w:jc w:val="left"/>
              <w:outlineLvl w:val="1"/>
              <w:rPr>
                <w:b w:val="0"/>
                <w:color w:val="202124"/>
                <w:lang w:eastAsia="ru-RU"/>
              </w:rPr>
            </w:pPr>
            <w:r w:rsidRPr="007D042B">
              <w:rPr>
                <w:b w:val="0"/>
                <w:bCs/>
                <w:color w:val="202124"/>
              </w:rPr>
              <w:t>Pasteur-Filiala Filipeşti S.</w:t>
            </w:r>
            <w:r w:rsidR="0072791C" w:rsidRPr="007D042B">
              <w:rPr>
                <w:b w:val="0"/>
                <w:bCs/>
                <w:color w:val="202124"/>
              </w:rPr>
              <w:t>А</w:t>
            </w:r>
            <w:r w:rsidRPr="007D042B">
              <w:rPr>
                <w:b w:val="0"/>
                <w:bCs/>
                <w:color w:val="202124"/>
              </w:rPr>
              <w:t>.</w:t>
            </w:r>
          </w:p>
          <w:p w14:paraId="49CE41F4" w14:textId="77777777" w:rsidR="00A06A88" w:rsidRPr="007D042B" w:rsidRDefault="00A06A88" w:rsidP="00EB529D">
            <w:pPr>
              <w:jc w:val="both"/>
              <w:rPr>
                <w:color w:val="202124"/>
                <w:shd w:val="clear" w:color="auto" w:fill="FFFFFF"/>
              </w:rPr>
            </w:pPr>
            <w:r w:rsidRPr="007D042B">
              <w:rPr>
                <w:color w:val="202124"/>
                <w:shd w:val="clear" w:color="auto" w:fill="FFFFFF"/>
              </w:rPr>
              <w:t>Str. Principala, 944, Com. Filipestii de Padure, Prahova, 107245, Filipeștii de Pădure,</w:t>
            </w:r>
            <w:r w:rsidRPr="007D042B">
              <w:t xml:space="preserve"> </w:t>
            </w:r>
            <w:r w:rsidRPr="007D042B">
              <w:rPr>
                <w:color w:val="202124"/>
                <w:shd w:val="clear" w:color="auto" w:fill="FFFFFF"/>
              </w:rPr>
              <w:t>Romania</w:t>
            </w:r>
          </w:p>
          <w:p w14:paraId="08C50024" w14:textId="77777777" w:rsidR="00A06A88" w:rsidRPr="007D042B" w:rsidRDefault="00A06A88" w:rsidP="00A06A88">
            <w:pPr>
              <w:pStyle w:val="HTML"/>
              <w:jc w:val="both"/>
              <w:rPr>
                <w:rFonts w:ascii="Times New Roman" w:hAnsi="Times New Roman" w:cs="Times New Roman"/>
                <w:sz w:val="24"/>
                <w:szCs w:val="24"/>
                <w:lang w:val="uk-UA"/>
              </w:rPr>
            </w:pPr>
            <w:r w:rsidRPr="007D042B">
              <w:rPr>
                <w:rFonts w:ascii="Times New Roman" w:hAnsi="Times New Roman" w:cs="Times New Roman"/>
                <w:sz w:val="24"/>
                <w:szCs w:val="24"/>
                <w:lang w:val="uk-UA"/>
              </w:rPr>
              <w:t>+40 745 102 945</w:t>
            </w:r>
          </w:p>
          <w:p w14:paraId="260C44F3" w14:textId="73DDB229" w:rsidR="00A06A88" w:rsidRPr="007D042B" w:rsidRDefault="0082082F" w:rsidP="00A06A88">
            <w:pPr>
              <w:pStyle w:val="HTML"/>
              <w:jc w:val="both"/>
              <w:rPr>
                <w:rFonts w:ascii="Times New Roman" w:hAnsi="Times New Roman" w:cs="Times New Roman"/>
                <w:sz w:val="24"/>
                <w:szCs w:val="24"/>
                <w:lang w:val="en-US"/>
              </w:rPr>
            </w:pPr>
            <w:hyperlink r:id="rId9" w:history="1">
              <w:r w:rsidR="00A06A88" w:rsidRPr="007D042B">
                <w:rPr>
                  <w:rStyle w:val="ac"/>
                  <w:rFonts w:ascii="Times New Roman" w:hAnsi="Times New Roman" w:cs="Times New Roman"/>
                  <w:sz w:val="24"/>
                  <w:szCs w:val="24"/>
                  <w:lang w:val="en-US"/>
                </w:rPr>
                <w:t>petra.zaharia@farmavet.ro</w:t>
              </w:r>
            </w:hyperlink>
          </w:p>
        </w:tc>
      </w:tr>
    </w:tbl>
    <w:p w14:paraId="43A3A732" w14:textId="0652A008" w:rsidR="00EB529D" w:rsidRPr="00EC7A0D" w:rsidRDefault="007D042B" w:rsidP="00EB529D">
      <w:pPr>
        <w:jc w:val="both"/>
        <w:rPr>
          <w:b/>
        </w:rPr>
      </w:pPr>
      <w:r w:rsidRPr="007D042B">
        <w:rPr>
          <w:b/>
        </w:rPr>
        <w:t>9</w:t>
      </w:r>
      <w:r w:rsidR="00EB529D" w:rsidRPr="007D042B">
        <w:rPr>
          <w:b/>
        </w:rPr>
        <w:t>. Додаткова інформація</w:t>
      </w:r>
    </w:p>
    <w:sectPr w:rsidR="00EB529D" w:rsidRPr="00EC7A0D" w:rsidSect="009C120A">
      <w:footnotePr>
        <w:pos w:val="beneathText"/>
      </w:footnotePr>
      <w:pgSz w:w="11905" w:h="16837"/>
      <w:pgMar w:top="567" w:right="454" w:bottom="397" w:left="1134" w:header="397" w:footer="397"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E5F71" w14:textId="77777777" w:rsidR="009C120A" w:rsidRPr="00150491" w:rsidRDefault="009C120A">
      <w:r w:rsidRPr="00150491">
        <w:separator/>
      </w:r>
    </w:p>
  </w:endnote>
  <w:endnote w:type="continuationSeparator" w:id="0">
    <w:p w14:paraId="676ADB33" w14:textId="77777777" w:rsidR="009C120A" w:rsidRPr="00150491" w:rsidRDefault="009C120A">
      <w:r w:rsidRPr="0015049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29F95" w14:textId="77777777" w:rsidR="009C120A" w:rsidRPr="00150491" w:rsidRDefault="009C120A">
      <w:r w:rsidRPr="00150491">
        <w:separator/>
      </w:r>
    </w:p>
  </w:footnote>
  <w:footnote w:type="continuationSeparator" w:id="0">
    <w:p w14:paraId="5396F3BE" w14:textId="77777777" w:rsidR="009C120A" w:rsidRPr="00150491" w:rsidRDefault="009C120A">
      <w:r w:rsidRPr="00150491">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174004D"/>
    <w:multiLevelType w:val="hybridMultilevel"/>
    <w:tmpl w:val="96665C9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60F1734"/>
    <w:multiLevelType w:val="hybridMultilevel"/>
    <w:tmpl w:val="B230726A"/>
    <w:lvl w:ilvl="0" w:tplc="C0A89758">
      <w:start w:val="5"/>
      <w:numFmt w:val="bullet"/>
      <w:lvlText w:val="-"/>
      <w:lvlJc w:val="left"/>
      <w:pPr>
        <w:ind w:left="720" w:hanging="360"/>
      </w:pPr>
      <w:rPr>
        <w:rFonts w:ascii="Times New Roman" w:eastAsia="Times New Roman" w:hAnsi="Times New Roman" w:cs="Times New Roman" w:hint="default"/>
        <w:u w:val="singl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E806B2E"/>
    <w:multiLevelType w:val="multilevel"/>
    <w:tmpl w:val="3D14BC84"/>
    <w:lvl w:ilvl="0">
      <w:start w:val="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89E"/>
    <w:rsid w:val="000D4535"/>
    <w:rsid w:val="00101FC5"/>
    <w:rsid w:val="00150491"/>
    <w:rsid w:val="00157FDF"/>
    <w:rsid w:val="001A5534"/>
    <w:rsid w:val="00270C14"/>
    <w:rsid w:val="002C321E"/>
    <w:rsid w:val="0035789D"/>
    <w:rsid w:val="00424D91"/>
    <w:rsid w:val="00566870"/>
    <w:rsid w:val="005F0D19"/>
    <w:rsid w:val="0061552B"/>
    <w:rsid w:val="0072791C"/>
    <w:rsid w:val="0076289E"/>
    <w:rsid w:val="00762CCB"/>
    <w:rsid w:val="007C6457"/>
    <w:rsid w:val="007C68EE"/>
    <w:rsid w:val="007D042B"/>
    <w:rsid w:val="00802869"/>
    <w:rsid w:val="0082082F"/>
    <w:rsid w:val="008E163B"/>
    <w:rsid w:val="008E55A1"/>
    <w:rsid w:val="009519C8"/>
    <w:rsid w:val="009C120A"/>
    <w:rsid w:val="009D7E21"/>
    <w:rsid w:val="00A06A88"/>
    <w:rsid w:val="00AC7717"/>
    <w:rsid w:val="00AD698F"/>
    <w:rsid w:val="00B001A9"/>
    <w:rsid w:val="00B20E5F"/>
    <w:rsid w:val="00B331AA"/>
    <w:rsid w:val="00B3633F"/>
    <w:rsid w:val="00BA530F"/>
    <w:rsid w:val="00C23650"/>
    <w:rsid w:val="00C9726F"/>
    <w:rsid w:val="00D511A5"/>
    <w:rsid w:val="00D65D0C"/>
    <w:rsid w:val="00E47CD4"/>
    <w:rsid w:val="00EB529D"/>
    <w:rsid w:val="00EC7A0D"/>
    <w:rsid w:val="00F267D3"/>
    <w:rsid w:val="00F7784E"/>
    <w:rsid w:val="00F957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02407"/>
  <w15:docId w15:val="{EBE08DCF-0E1A-4E51-BFA7-E1567714B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55A1"/>
    <w:pPr>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styleId="2">
    <w:name w:val="heading 2"/>
    <w:basedOn w:val="a"/>
    <w:next w:val="a"/>
    <w:link w:val="20"/>
    <w:qFormat/>
    <w:rsid w:val="008E55A1"/>
    <w:pPr>
      <w:keepNext/>
      <w:numPr>
        <w:ilvl w:val="1"/>
        <w:numId w:val="1"/>
      </w:numPr>
      <w:jc w:val="center"/>
      <w:outlineLvl w:val="1"/>
    </w:pPr>
    <w:rPr>
      <w:b/>
    </w:rPr>
  </w:style>
  <w:style w:type="paragraph" w:styleId="3">
    <w:name w:val="heading 3"/>
    <w:basedOn w:val="a"/>
    <w:next w:val="a"/>
    <w:link w:val="30"/>
    <w:qFormat/>
    <w:rsid w:val="008E55A1"/>
    <w:pPr>
      <w:keepNext/>
      <w:numPr>
        <w:ilvl w:val="2"/>
        <w:numId w:val="1"/>
      </w:numPr>
      <w:ind w:left="6480" w:firstLine="0"/>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E55A1"/>
    <w:rPr>
      <w:rFonts w:ascii="Times New Roman" w:eastAsia="Times New Roman" w:hAnsi="Times New Roman" w:cs="Times New Roman"/>
      <w:b/>
      <w:kern w:val="0"/>
      <w:sz w:val="24"/>
      <w:szCs w:val="24"/>
      <w:lang w:eastAsia="ar-SA"/>
      <w14:ligatures w14:val="none"/>
    </w:rPr>
  </w:style>
  <w:style w:type="character" w:customStyle="1" w:styleId="30">
    <w:name w:val="Заголовок 3 Знак"/>
    <w:basedOn w:val="a0"/>
    <w:link w:val="3"/>
    <w:rsid w:val="008E55A1"/>
    <w:rPr>
      <w:rFonts w:ascii="Times New Roman" w:eastAsia="Times New Roman" w:hAnsi="Times New Roman" w:cs="Times New Roman"/>
      <w:b/>
      <w:kern w:val="0"/>
      <w:sz w:val="24"/>
      <w:szCs w:val="24"/>
      <w:lang w:eastAsia="ar-SA"/>
      <w14:ligatures w14:val="none"/>
    </w:rPr>
  </w:style>
  <w:style w:type="paragraph" w:styleId="a3">
    <w:name w:val="Body Text"/>
    <w:basedOn w:val="a"/>
    <w:link w:val="a4"/>
    <w:semiHidden/>
    <w:rsid w:val="008E55A1"/>
    <w:pPr>
      <w:jc w:val="both"/>
    </w:pPr>
    <w:rPr>
      <w:b/>
      <w:color w:val="000000"/>
    </w:rPr>
  </w:style>
  <w:style w:type="character" w:customStyle="1" w:styleId="a4">
    <w:name w:val="Основний текст Знак"/>
    <w:basedOn w:val="a0"/>
    <w:link w:val="a3"/>
    <w:semiHidden/>
    <w:rsid w:val="008E55A1"/>
    <w:rPr>
      <w:rFonts w:ascii="Times New Roman" w:eastAsia="Times New Roman" w:hAnsi="Times New Roman" w:cs="Times New Roman"/>
      <w:b/>
      <w:color w:val="000000"/>
      <w:kern w:val="0"/>
      <w:sz w:val="24"/>
      <w:szCs w:val="24"/>
      <w:lang w:eastAsia="ar-SA"/>
      <w14:ligatures w14:val="none"/>
    </w:rPr>
  </w:style>
  <w:style w:type="paragraph" w:customStyle="1" w:styleId="21">
    <w:name w:val="Основной текст 21"/>
    <w:basedOn w:val="a"/>
    <w:rsid w:val="008E55A1"/>
    <w:pPr>
      <w:jc w:val="both"/>
    </w:pPr>
    <w:rPr>
      <w:color w:val="000000"/>
    </w:rPr>
  </w:style>
  <w:style w:type="paragraph" w:styleId="a5">
    <w:name w:val="footer"/>
    <w:basedOn w:val="a"/>
    <w:link w:val="a6"/>
    <w:semiHidden/>
    <w:rsid w:val="008E55A1"/>
    <w:pPr>
      <w:tabs>
        <w:tab w:val="center" w:pos="4677"/>
        <w:tab w:val="right" w:pos="9355"/>
      </w:tabs>
    </w:pPr>
  </w:style>
  <w:style w:type="character" w:customStyle="1" w:styleId="a6">
    <w:name w:val="Нижній колонтитул Знак"/>
    <w:basedOn w:val="a0"/>
    <w:link w:val="a5"/>
    <w:semiHidden/>
    <w:rsid w:val="008E55A1"/>
    <w:rPr>
      <w:rFonts w:ascii="Times New Roman" w:eastAsia="Times New Roman" w:hAnsi="Times New Roman" w:cs="Times New Roman"/>
      <w:kern w:val="0"/>
      <w:sz w:val="24"/>
      <w:szCs w:val="24"/>
      <w:lang w:val="ru-RU" w:eastAsia="ar-SA"/>
      <w14:ligatures w14:val="none"/>
    </w:rPr>
  </w:style>
  <w:style w:type="paragraph" w:styleId="a7">
    <w:name w:val="No Spacing"/>
    <w:uiPriority w:val="1"/>
    <w:qFormat/>
    <w:rsid w:val="008E55A1"/>
    <w:pPr>
      <w:suppressAutoHyphens/>
      <w:spacing w:after="0" w:line="240" w:lineRule="auto"/>
    </w:pPr>
    <w:rPr>
      <w:rFonts w:ascii="Times New Roman" w:eastAsia="Times New Roman" w:hAnsi="Times New Roman" w:cs="Times New Roman"/>
      <w:kern w:val="0"/>
      <w:sz w:val="24"/>
      <w:szCs w:val="24"/>
      <w:lang w:val="ru-RU" w:eastAsia="ar-SA"/>
      <w14:ligatures w14:val="none"/>
    </w:rPr>
  </w:style>
  <w:style w:type="character" w:customStyle="1" w:styleId="cs5efed22f1">
    <w:name w:val="cs5efed22f1"/>
    <w:rsid w:val="008E55A1"/>
    <w:rPr>
      <w:rFonts w:ascii="Times New Roman" w:hAnsi="Times New Roman" w:cs="Times New Roman" w:hint="default"/>
      <w:b w:val="0"/>
      <w:bCs w:val="0"/>
      <w:i w:val="0"/>
      <w:iCs w:val="0"/>
      <w:color w:val="000000"/>
      <w:sz w:val="24"/>
      <w:szCs w:val="24"/>
      <w:shd w:val="clear" w:color="auto" w:fill="auto"/>
    </w:rPr>
  </w:style>
  <w:style w:type="character" w:customStyle="1" w:styleId="1">
    <w:name w:val="Основний текст Знак1"/>
    <w:uiPriority w:val="99"/>
    <w:locked/>
    <w:rsid w:val="008E55A1"/>
    <w:rPr>
      <w:rFonts w:ascii="Times New Roman" w:hAnsi="Times New Roman" w:cs="Times New Roman"/>
      <w:sz w:val="23"/>
      <w:szCs w:val="23"/>
      <w:u w:val="none"/>
    </w:rPr>
  </w:style>
  <w:style w:type="character" w:customStyle="1" w:styleId="cs5efed22f9">
    <w:name w:val="cs5efed22f9"/>
    <w:rsid w:val="008E55A1"/>
    <w:rPr>
      <w:rFonts w:ascii="Times New Roman" w:hAnsi="Times New Roman" w:cs="Times New Roman" w:hint="default"/>
      <w:b w:val="0"/>
      <w:bCs w:val="0"/>
      <w:i w:val="0"/>
      <w:iCs w:val="0"/>
      <w:color w:val="000000"/>
      <w:sz w:val="24"/>
      <w:szCs w:val="24"/>
      <w:shd w:val="clear" w:color="auto" w:fill="auto"/>
    </w:rPr>
  </w:style>
  <w:style w:type="paragraph" w:styleId="a8">
    <w:name w:val="List Paragraph"/>
    <w:basedOn w:val="a"/>
    <w:uiPriority w:val="34"/>
    <w:qFormat/>
    <w:rsid w:val="00EB529D"/>
    <w:pPr>
      <w:ind w:left="720"/>
      <w:contextualSpacing/>
    </w:pPr>
  </w:style>
  <w:style w:type="table" w:styleId="a9">
    <w:name w:val="Table Grid"/>
    <w:basedOn w:val="a1"/>
    <w:uiPriority w:val="39"/>
    <w:rsid w:val="009D7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424D91"/>
    <w:pPr>
      <w:tabs>
        <w:tab w:val="center" w:pos="4677"/>
        <w:tab w:val="right" w:pos="9355"/>
      </w:tabs>
    </w:pPr>
  </w:style>
  <w:style w:type="character" w:customStyle="1" w:styleId="ab">
    <w:name w:val="Верхній колонтитул Знак"/>
    <w:basedOn w:val="a0"/>
    <w:link w:val="aa"/>
    <w:uiPriority w:val="99"/>
    <w:rsid w:val="00424D91"/>
    <w:rPr>
      <w:rFonts w:ascii="Times New Roman" w:eastAsia="Times New Roman" w:hAnsi="Times New Roman" w:cs="Times New Roman"/>
      <w:kern w:val="0"/>
      <w:sz w:val="24"/>
      <w:szCs w:val="24"/>
      <w:lang w:eastAsia="ar-SA"/>
      <w14:ligatures w14:val="none"/>
    </w:rPr>
  </w:style>
  <w:style w:type="paragraph" w:customStyle="1" w:styleId="Default">
    <w:name w:val="Default"/>
    <w:rsid w:val="00B001A9"/>
    <w:pPr>
      <w:autoSpaceDE w:val="0"/>
      <w:autoSpaceDN w:val="0"/>
      <w:adjustRightInd w:val="0"/>
      <w:spacing w:after="0" w:line="240" w:lineRule="auto"/>
    </w:pPr>
    <w:rPr>
      <w:rFonts w:ascii="Times New Roman" w:hAnsi="Times New Roman" w:cs="Times New Roman"/>
      <w:color w:val="000000"/>
      <w:kern w:val="0"/>
      <w:sz w:val="24"/>
      <w:szCs w:val="24"/>
      <w:lang w:val="ru-RU"/>
    </w:rPr>
  </w:style>
  <w:style w:type="paragraph" w:styleId="HTML">
    <w:name w:val="HTML Preformatted"/>
    <w:basedOn w:val="a"/>
    <w:link w:val="HTML0"/>
    <w:rsid w:val="00AD6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ru-RU" w:eastAsia="ru-RU"/>
    </w:rPr>
  </w:style>
  <w:style w:type="character" w:customStyle="1" w:styleId="HTML0">
    <w:name w:val="Стандартний HTML Знак"/>
    <w:basedOn w:val="a0"/>
    <w:link w:val="HTML"/>
    <w:rsid w:val="00AD698F"/>
    <w:rPr>
      <w:rFonts w:ascii="Courier New" w:eastAsia="Times New Roman" w:hAnsi="Courier New" w:cs="Courier New"/>
      <w:kern w:val="0"/>
      <w:sz w:val="20"/>
      <w:szCs w:val="20"/>
      <w:lang w:val="ru-RU" w:eastAsia="ru-RU"/>
      <w14:ligatures w14:val="none"/>
    </w:rPr>
  </w:style>
  <w:style w:type="character" w:styleId="ac">
    <w:name w:val="Hyperlink"/>
    <w:basedOn w:val="a0"/>
    <w:uiPriority w:val="99"/>
    <w:unhideWhenUsed/>
    <w:rsid w:val="00A06A88"/>
    <w:rPr>
      <w:color w:val="0563C1" w:themeColor="hyperlink"/>
      <w:u w:val="single"/>
    </w:rPr>
  </w:style>
  <w:style w:type="character" w:customStyle="1" w:styleId="UnresolvedMention">
    <w:name w:val="Unresolved Mention"/>
    <w:basedOn w:val="a0"/>
    <w:uiPriority w:val="99"/>
    <w:semiHidden/>
    <w:unhideWhenUsed/>
    <w:rsid w:val="00B20E5F"/>
    <w:rPr>
      <w:color w:val="605E5C"/>
      <w:shd w:val="clear" w:color="auto" w:fill="E1DFDD"/>
    </w:rPr>
  </w:style>
  <w:style w:type="character" w:styleId="ad">
    <w:name w:val="annotation reference"/>
    <w:basedOn w:val="a0"/>
    <w:uiPriority w:val="99"/>
    <w:semiHidden/>
    <w:unhideWhenUsed/>
    <w:rsid w:val="00D511A5"/>
    <w:rPr>
      <w:sz w:val="16"/>
      <w:szCs w:val="16"/>
    </w:rPr>
  </w:style>
  <w:style w:type="paragraph" w:styleId="ae">
    <w:name w:val="annotation text"/>
    <w:basedOn w:val="a"/>
    <w:link w:val="af"/>
    <w:uiPriority w:val="99"/>
    <w:semiHidden/>
    <w:unhideWhenUsed/>
    <w:rsid w:val="00D511A5"/>
    <w:rPr>
      <w:sz w:val="20"/>
      <w:szCs w:val="20"/>
    </w:rPr>
  </w:style>
  <w:style w:type="character" w:customStyle="1" w:styleId="af">
    <w:name w:val="Текст примітки Знак"/>
    <w:basedOn w:val="a0"/>
    <w:link w:val="ae"/>
    <w:uiPriority w:val="99"/>
    <w:semiHidden/>
    <w:rsid w:val="00D511A5"/>
    <w:rPr>
      <w:rFonts w:ascii="Times New Roman" w:eastAsia="Times New Roman" w:hAnsi="Times New Roman" w:cs="Times New Roman"/>
      <w:kern w:val="0"/>
      <w:sz w:val="20"/>
      <w:szCs w:val="20"/>
      <w:lang w:eastAsia="ar-SA"/>
      <w14:ligatures w14:val="none"/>
    </w:rPr>
  </w:style>
  <w:style w:type="paragraph" w:styleId="af0">
    <w:name w:val="annotation subject"/>
    <w:basedOn w:val="ae"/>
    <w:next w:val="ae"/>
    <w:link w:val="af1"/>
    <w:uiPriority w:val="99"/>
    <w:semiHidden/>
    <w:unhideWhenUsed/>
    <w:rsid w:val="00D511A5"/>
    <w:rPr>
      <w:b/>
      <w:bCs/>
    </w:rPr>
  </w:style>
  <w:style w:type="character" w:customStyle="1" w:styleId="af1">
    <w:name w:val="Тема примітки Знак"/>
    <w:basedOn w:val="af"/>
    <w:link w:val="af0"/>
    <w:uiPriority w:val="99"/>
    <w:semiHidden/>
    <w:rsid w:val="00D511A5"/>
    <w:rPr>
      <w:rFonts w:ascii="Times New Roman" w:eastAsia="Times New Roman" w:hAnsi="Times New Roman" w:cs="Times New Roman"/>
      <w:b/>
      <w:bCs/>
      <w:kern w:val="0"/>
      <w:sz w:val="20"/>
      <w:szCs w:val="20"/>
      <w:lang w:eastAsia="ar-SA"/>
      <w14:ligatures w14:val="none"/>
    </w:rPr>
  </w:style>
  <w:style w:type="paragraph" w:styleId="af2">
    <w:name w:val="Balloon Text"/>
    <w:basedOn w:val="a"/>
    <w:link w:val="af3"/>
    <w:uiPriority w:val="99"/>
    <w:semiHidden/>
    <w:unhideWhenUsed/>
    <w:rsid w:val="00D511A5"/>
    <w:rPr>
      <w:rFonts w:ascii="Tahoma" w:hAnsi="Tahoma" w:cs="Tahoma"/>
      <w:sz w:val="16"/>
      <w:szCs w:val="16"/>
    </w:rPr>
  </w:style>
  <w:style w:type="character" w:customStyle="1" w:styleId="af3">
    <w:name w:val="Текст у виносці Знак"/>
    <w:basedOn w:val="a0"/>
    <w:link w:val="af2"/>
    <w:uiPriority w:val="99"/>
    <w:semiHidden/>
    <w:rsid w:val="00D511A5"/>
    <w:rPr>
      <w:rFonts w:ascii="Tahoma" w:eastAsia="Times New Roman" w:hAnsi="Tahoma" w:cs="Tahoma"/>
      <w:kern w:val="0"/>
      <w:sz w:val="16"/>
      <w:szCs w:val="16"/>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a.zaharia@farmavet.ro" TargetMode="External"/><Relationship Id="rId3" Type="http://schemas.openxmlformats.org/officeDocument/2006/relationships/settings" Target="settings.xml"/><Relationship Id="rId7" Type="http://schemas.openxmlformats.org/officeDocument/2006/relationships/hyperlink" Target="mailto:info@loxave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etra.zaharia@farmavet.r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536</TotalTime>
  <Pages>4</Pages>
  <Words>6399</Words>
  <Characters>3648</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Кучерюк Ірина</dc:creator>
  <cp:keywords/>
  <dc:description/>
  <cp:lastModifiedBy>admin</cp:lastModifiedBy>
  <cp:revision>24</cp:revision>
  <cp:lastPrinted>2023-09-14T08:57:00Z</cp:lastPrinted>
  <dcterms:created xsi:type="dcterms:W3CDTF">2023-08-24T08:25:00Z</dcterms:created>
  <dcterms:modified xsi:type="dcterms:W3CDTF">2024-12-03T09:50:00Z</dcterms:modified>
</cp:coreProperties>
</file>