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08" w:rsidRPr="00196D4E" w:rsidRDefault="00792D08" w:rsidP="008F0305">
      <w:pPr>
        <w:pStyle w:val="2"/>
        <w:jc w:val="center"/>
        <w:rPr>
          <w:rFonts w:ascii="Times New Roman" w:hAnsi="Times New Roman"/>
          <w:b/>
          <w:bCs/>
          <w:szCs w:val="24"/>
        </w:rPr>
      </w:pPr>
      <w:r w:rsidRPr="00196D4E">
        <w:rPr>
          <w:rFonts w:ascii="Times New Roman" w:hAnsi="Times New Roman"/>
          <w:b/>
          <w:bCs/>
          <w:szCs w:val="24"/>
        </w:rPr>
        <w:t>Коротка характеристика препарату</w:t>
      </w:r>
    </w:p>
    <w:p w:rsidR="00792D08" w:rsidRPr="00196D4E" w:rsidRDefault="00792D08" w:rsidP="008F0305">
      <w:pPr>
        <w:jc w:val="center"/>
        <w:rPr>
          <w:rFonts w:ascii="Times New Roman" w:hAnsi="Times New Roman"/>
          <w:b/>
          <w:szCs w:val="24"/>
          <w:lang w:val="uk-UA"/>
        </w:rPr>
      </w:pPr>
    </w:p>
    <w:p w:rsidR="00792D08" w:rsidRPr="00196D4E" w:rsidRDefault="00792D08" w:rsidP="008F0305">
      <w:pPr>
        <w:tabs>
          <w:tab w:val="left" w:pos="567"/>
          <w:tab w:val="left" w:pos="2148"/>
        </w:tabs>
        <w:ind w:firstLine="567"/>
        <w:rPr>
          <w:rFonts w:ascii="Times New Roman" w:hAnsi="Times New Roman"/>
          <w:b/>
          <w:szCs w:val="24"/>
          <w:lang w:val="uk-UA"/>
        </w:rPr>
      </w:pPr>
      <w:r w:rsidRPr="00196D4E">
        <w:rPr>
          <w:rFonts w:ascii="Times New Roman" w:hAnsi="Times New Roman"/>
          <w:b/>
          <w:szCs w:val="24"/>
          <w:lang w:val="uk-UA"/>
        </w:rPr>
        <w:t xml:space="preserve">1. </w:t>
      </w:r>
      <w:proofErr w:type="spellStart"/>
      <w:r w:rsidRPr="00196D4E">
        <w:rPr>
          <w:rFonts w:ascii="Times New Roman" w:hAnsi="Times New Roman"/>
          <w:b/>
          <w:szCs w:val="24"/>
          <w:lang w:val="ru-RU"/>
        </w:rPr>
        <w:t>Назва</w:t>
      </w:r>
      <w:proofErr w:type="spellEnd"/>
    </w:p>
    <w:p w:rsidR="00792D08" w:rsidRPr="00196D4E" w:rsidRDefault="00792D08" w:rsidP="008F0305">
      <w:pPr>
        <w:tabs>
          <w:tab w:val="left" w:pos="567"/>
          <w:tab w:val="left" w:pos="2148"/>
        </w:tabs>
        <w:ind w:firstLine="567"/>
        <w:rPr>
          <w:rFonts w:ascii="Times New Roman" w:hAnsi="Times New Roman"/>
          <w:bCs/>
          <w:szCs w:val="24"/>
          <w:lang w:val="uk-UA"/>
        </w:rPr>
      </w:pPr>
      <w:proofErr w:type="spellStart"/>
      <w:r w:rsidRPr="00196D4E">
        <w:rPr>
          <w:rFonts w:ascii="Times New Roman" w:hAnsi="Times New Roman"/>
          <w:bCs/>
          <w:szCs w:val="24"/>
          <w:lang w:val="uk-UA"/>
        </w:rPr>
        <w:t>Макролан</w:t>
      </w:r>
      <w:proofErr w:type="spellEnd"/>
      <w:r w:rsidRPr="00196D4E">
        <w:rPr>
          <w:rFonts w:ascii="Times New Roman" w:hAnsi="Times New Roman"/>
          <w:bCs/>
          <w:szCs w:val="24"/>
          <w:lang w:val="uk-UA"/>
        </w:rPr>
        <w:t>-200</w:t>
      </w:r>
    </w:p>
    <w:p w:rsidR="00792D08" w:rsidRPr="00196D4E" w:rsidRDefault="00792D08" w:rsidP="008F0305">
      <w:pPr>
        <w:tabs>
          <w:tab w:val="left" w:pos="567"/>
        </w:tabs>
        <w:ind w:firstLine="567"/>
        <w:rPr>
          <w:rFonts w:ascii="Times New Roman" w:hAnsi="Times New Roman"/>
          <w:b/>
          <w:snapToGrid w:val="0"/>
          <w:szCs w:val="24"/>
          <w:lang w:val="uk-UA"/>
        </w:rPr>
      </w:pPr>
      <w:r w:rsidRPr="00196D4E">
        <w:rPr>
          <w:rFonts w:ascii="Times New Roman" w:hAnsi="Times New Roman"/>
          <w:b/>
          <w:snapToGrid w:val="0"/>
          <w:szCs w:val="24"/>
          <w:lang w:val="uk-UA"/>
        </w:rPr>
        <w:tab/>
      </w:r>
      <w:r w:rsidRPr="00196D4E">
        <w:rPr>
          <w:rFonts w:ascii="Times New Roman" w:hAnsi="Times New Roman"/>
          <w:b/>
          <w:snapToGrid w:val="0"/>
          <w:szCs w:val="24"/>
          <w:lang w:val="ru-RU"/>
        </w:rPr>
        <w:t xml:space="preserve">2. </w:t>
      </w:r>
      <w:r w:rsidRPr="00196D4E">
        <w:rPr>
          <w:rFonts w:ascii="Times New Roman" w:hAnsi="Times New Roman"/>
          <w:b/>
          <w:snapToGrid w:val="0"/>
          <w:szCs w:val="24"/>
          <w:lang w:val="uk-UA"/>
        </w:rPr>
        <w:t>С</w:t>
      </w:r>
      <w:r w:rsidRPr="00196D4E">
        <w:rPr>
          <w:rFonts w:ascii="Times New Roman" w:hAnsi="Times New Roman"/>
          <w:b/>
          <w:snapToGrid w:val="0"/>
          <w:szCs w:val="24"/>
          <w:lang w:val="ru-RU"/>
        </w:rPr>
        <w:t>клад</w:t>
      </w:r>
    </w:p>
    <w:p w:rsidR="00792D08" w:rsidRPr="00196D4E" w:rsidRDefault="00792D08" w:rsidP="008F0305">
      <w:pPr>
        <w:ind w:firstLine="567"/>
        <w:rPr>
          <w:rFonts w:ascii="Times New Roman" w:hAnsi="Times New Roman"/>
          <w:szCs w:val="24"/>
          <w:lang w:val="uk-UA" w:eastAsia="en-US"/>
        </w:rPr>
      </w:pPr>
      <w:bookmarkStart w:id="0" w:name="_Hlk161153292"/>
      <w:bookmarkStart w:id="1" w:name="_Hlk161153766"/>
      <w:bookmarkStart w:id="2" w:name="_Hlk161153813"/>
      <w:r w:rsidRPr="00196D4E">
        <w:rPr>
          <w:rFonts w:ascii="Times New Roman" w:hAnsi="Times New Roman"/>
          <w:bCs/>
          <w:szCs w:val="24"/>
          <w:lang w:val="uk-UA" w:eastAsia="en-US"/>
        </w:rPr>
        <w:t xml:space="preserve">1 </w:t>
      </w:r>
      <w:proofErr w:type="spellStart"/>
      <w:r w:rsidRPr="00196D4E">
        <w:rPr>
          <w:rFonts w:ascii="Times New Roman" w:hAnsi="Times New Roman"/>
          <w:bCs/>
          <w:szCs w:val="24"/>
          <w:lang w:val="uk-UA" w:eastAsia="en-US"/>
        </w:rPr>
        <w:t>мл</w:t>
      </w:r>
      <w:proofErr w:type="spellEnd"/>
      <w:r w:rsidRPr="00196D4E">
        <w:rPr>
          <w:rFonts w:ascii="Times New Roman" w:hAnsi="Times New Roman"/>
          <w:bCs/>
          <w:szCs w:val="24"/>
          <w:lang w:val="uk-UA" w:eastAsia="en-US"/>
        </w:rPr>
        <w:t xml:space="preserve"> препарату містить</w:t>
      </w:r>
      <w:r w:rsidRPr="00196D4E">
        <w:rPr>
          <w:rFonts w:ascii="Times New Roman" w:hAnsi="Times New Roman"/>
          <w:szCs w:val="24"/>
          <w:lang w:val="uk-UA" w:eastAsia="en-US"/>
        </w:rPr>
        <w:t xml:space="preserve"> </w:t>
      </w:r>
      <w:r w:rsidRPr="00196D4E">
        <w:rPr>
          <w:rFonts w:ascii="Times New Roman" w:hAnsi="Times New Roman"/>
          <w:szCs w:val="24"/>
          <w:lang w:val="uk-UA"/>
        </w:rPr>
        <w:t>діючу речовину</w:t>
      </w:r>
      <w:r w:rsidRPr="00196D4E">
        <w:rPr>
          <w:rFonts w:ascii="Times New Roman" w:hAnsi="Times New Roman"/>
          <w:szCs w:val="24"/>
          <w:lang w:val="uk-UA" w:eastAsia="en-US"/>
        </w:rPr>
        <w:t>:</w:t>
      </w:r>
    </w:p>
    <w:p w:rsidR="00792D08" w:rsidRPr="00196D4E" w:rsidRDefault="00792D08" w:rsidP="00FB539C">
      <w:pPr>
        <w:ind w:firstLine="567"/>
        <w:rPr>
          <w:rFonts w:ascii="Times New Roman" w:hAnsi="Times New Roman"/>
          <w:szCs w:val="24"/>
          <w:lang w:val="uk-UA" w:eastAsia="en-US"/>
        </w:rPr>
      </w:pPr>
      <w:bookmarkStart w:id="3" w:name="_Hlk161846999"/>
      <w:proofErr w:type="spellStart"/>
      <w:r w:rsidRPr="00196D4E">
        <w:rPr>
          <w:rFonts w:ascii="Times New Roman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hAnsi="Times New Roman"/>
          <w:szCs w:val="24"/>
          <w:lang w:val="uk-UA" w:eastAsia="en-US"/>
        </w:rPr>
        <w:t xml:space="preserve"> (у формі </w:t>
      </w:r>
      <w:proofErr w:type="spellStart"/>
      <w:r w:rsidRPr="00196D4E">
        <w:rPr>
          <w:rFonts w:ascii="Times New Roman" w:hAnsi="Times New Roman"/>
          <w:szCs w:val="24"/>
          <w:lang w:val="uk-UA" w:eastAsia="en-US"/>
        </w:rPr>
        <w:t>тартрату</w:t>
      </w:r>
      <w:proofErr w:type="spellEnd"/>
      <w:r w:rsidRPr="00196D4E">
        <w:rPr>
          <w:rFonts w:ascii="Times New Roman" w:hAnsi="Times New Roman"/>
          <w:szCs w:val="24"/>
          <w:lang w:val="uk-UA" w:eastAsia="en-US"/>
        </w:rPr>
        <w:t>) - 200,0 мг.</w:t>
      </w:r>
    </w:p>
    <w:p w:rsidR="00792D08" w:rsidRPr="00196D4E" w:rsidRDefault="00792D08" w:rsidP="008F0305">
      <w:pPr>
        <w:ind w:firstLine="567"/>
        <w:jc w:val="both"/>
        <w:rPr>
          <w:rFonts w:ascii="Times New Roman" w:hAnsi="Times New Roman"/>
          <w:szCs w:val="24"/>
          <w:lang w:val="uk-UA" w:eastAsia="en-US"/>
        </w:rPr>
      </w:pPr>
      <w:bookmarkStart w:id="4" w:name="_Hlk163202301"/>
      <w:r w:rsidRPr="00196D4E">
        <w:rPr>
          <w:rFonts w:ascii="Times New Roman" w:hAnsi="Times New Roman"/>
          <w:snapToGrid w:val="0"/>
          <w:szCs w:val="24"/>
          <w:lang w:val="uk-UA"/>
        </w:rPr>
        <w:t>Допоміжні речовини:</w:t>
      </w:r>
      <w:r w:rsidRPr="00196D4E">
        <w:rPr>
          <w:rFonts w:ascii="Times New Roman" w:hAnsi="Times New Roman"/>
          <w:b/>
          <w:snapToGrid w:val="0"/>
          <w:szCs w:val="24"/>
          <w:lang w:val="uk-UA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uk-UA" w:eastAsia="en-US"/>
        </w:rPr>
        <w:t>бензиловий</w:t>
      </w:r>
      <w:proofErr w:type="spellEnd"/>
      <w:r w:rsidRPr="00196D4E">
        <w:rPr>
          <w:rFonts w:ascii="Times New Roman" w:hAnsi="Times New Roman"/>
          <w:szCs w:val="24"/>
          <w:lang w:val="uk-UA" w:eastAsia="en-US"/>
        </w:rPr>
        <w:t xml:space="preserve"> спирт, </w:t>
      </w:r>
      <w:r w:rsidRPr="00196D4E">
        <w:rPr>
          <w:rFonts w:ascii="Times New Roman" w:hAnsi="Times New Roman"/>
          <w:spacing w:val="-3"/>
          <w:szCs w:val="24"/>
          <w:lang w:val="uk-UA"/>
        </w:rPr>
        <w:t xml:space="preserve">натрію цитрат, </w:t>
      </w:r>
      <w:proofErr w:type="spellStart"/>
      <w:r w:rsidRPr="00196D4E">
        <w:rPr>
          <w:rFonts w:ascii="Times New Roman" w:hAnsi="Times New Roman"/>
          <w:spacing w:val="-3"/>
          <w:szCs w:val="24"/>
          <w:lang w:val="uk-UA"/>
        </w:rPr>
        <w:t>динатрію</w:t>
      </w:r>
      <w:proofErr w:type="spellEnd"/>
      <w:r w:rsidRPr="00196D4E">
        <w:rPr>
          <w:rFonts w:ascii="Times New Roman" w:hAnsi="Times New Roman"/>
          <w:spacing w:val="-3"/>
          <w:szCs w:val="24"/>
          <w:lang w:val="uk-UA"/>
        </w:rPr>
        <w:t xml:space="preserve"> </w:t>
      </w:r>
      <w:proofErr w:type="spellStart"/>
      <w:r w:rsidRPr="00196D4E">
        <w:rPr>
          <w:rFonts w:ascii="Times New Roman" w:hAnsi="Times New Roman"/>
          <w:spacing w:val="-3"/>
          <w:szCs w:val="24"/>
          <w:lang w:val="uk-UA"/>
        </w:rPr>
        <w:t>едетат</w:t>
      </w:r>
      <w:proofErr w:type="spellEnd"/>
      <w:r w:rsidRPr="00196D4E">
        <w:rPr>
          <w:rFonts w:ascii="Times New Roman" w:hAnsi="Times New Roman"/>
          <w:spacing w:val="-3"/>
          <w:szCs w:val="24"/>
          <w:lang w:val="uk-UA"/>
        </w:rPr>
        <w:t>,</w:t>
      </w:r>
      <w:r w:rsidRPr="00196D4E">
        <w:rPr>
          <w:rFonts w:ascii="Times New Roman" w:hAnsi="Times New Roman"/>
          <w:szCs w:val="24"/>
          <w:lang w:val="uk-UA" w:eastAsia="en-US"/>
        </w:rPr>
        <w:t xml:space="preserve"> натрію </w:t>
      </w:r>
      <w:proofErr w:type="spellStart"/>
      <w:r w:rsidRPr="00196D4E">
        <w:rPr>
          <w:rFonts w:ascii="Times New Roman" w:hAnsi="Times New Roman"/>
          <w:szCs w:val="24"/>
          <w:lang w:val="uk-UA" w:eastAsia="en-US"/>
        </w:rPr>
        <w:t>тетраборат</w:t>
      </w:r>
      <w:proofErr w:type="spellEnd"/>
      <w:r w:rsidRPr="00196D4E">
        <w:rPr>
          <w:rFonts w:ascii="Times New Roman" w:hAnsi="Times New Roman"/>
          <w:szCs w:val="24"/>
          <w:lang w:val="uk-UA" w:eastAsia="en-US"/>
        </w:rPr>
        <w:t xml:space="preserve">, </w:t>
      </w:r>
      <w:proofErr w:type="spellStart"/>
      <w:r w:rsidRPr="00196D4E">
        <w:rPr>
          <w:rFonts w:ascii="Times New Roman" w:hAnsi="Times New Roman"/>
          <w:szCs w:val="24"/>
          <w:lang w:val="uk-UA" w:eastAsia="en-US"/>
        </w:rPr>
        <w:t>пропіленгліколь</w:t>
      </w:r>
      <w:proofErr w:type="spellEnd"/>
      <w:r w:rsidRPr="00196D4E">
        <w:rPr>
          <w:rFonts w:ascii="Times New Roman" w:hAnsi="Times New Roman"/>
          <w:szCs w:val="24"/>
          <w:lang w:val="uk-UA" w:eastAsia="en-US"/>
        </w:rPr>
        <w:t>, вода для ін’єкцій.</w:t>
      </w:r>
    </w:p>
    <w:bookmarkEnd w:id="0"/>
    <w:bookmarkEnd w:id="1"/>
    <w:bookmarkEnd w:id="2"/>
    <w:bookmarkEnd w:id="3"/>
    <w:bookmarkEnd w:id="4"/>
    <w:p w:rsidR="00792D08" w:rsidRPr="00196D4E" w:rsidRDefault="00792D08" w:rsidP="008F0305">
      <w:pPr>
        <w:tabs>
          <w:tab w:val="left" w:pos="567"/>
        </w:tabs>
        <w:ind w:firstLine="567"/>
        <w:rPr>
          <w:rFonts w:ascii="Times New Roman" w:hAnsi="Times New Roman"/>
          <w:b/>
          <w:snapToGrid w:val="0"/>
          <w:szCs w:val="24"/>
          <w:lang w:val="uk-UA"/>
        </w:rPr>
      </w:pPr>
      <w:r w:rsidRPr="00196D4E">
        <w:rPr>
          <w:rFonts w:ascii="Times New Roman" w:hAnsi="Times New Roman"/>
          <w:b/>
          <w:snapToGrid w:val="0"/>
          <w:szCs w:val="24"/>
          <w:lang w:val="uk-UA"/>
        </w:rPr>
        <w:tab/>
      </w:r>
      <w:r w:rsidRPr="00196D4E">
        <w:rPr>
          <w:rFonts w:ascii="Times New Roman" w:hAnsi="Times New Roman"/>
          <w:b/>
          <w:snapToGrid w:val="0"/>
          <w:szCs w:val="24"/>
          <w:lang w:val="ru-RU"/>
        </w:rPr>
        <w:t xml:space="preserve">3. </w:t>
      </w:r>
      <w:proofErr w:type="spellStart"/>
      <w:r w:rsidRPr="00196D4E">
        <w:rPr>
          <w:rFonts w:ascii="Times New Roman" w:hAnsi="Times New Roman"/>
          <w:b/>
          <w:snapToGrid w:val="0"/>
          <w:szCs w:val="24"/>
          <w:lang w:val="ru-RU"/>
        </w:rPr>
        <w:t>Фармацевтична</w:t>
      </w:r>
      <w:proofErr w:type="spellEnd"/>
      <w:r w:rsidRPr="00196D4E">
        <w:rPr>
          <w:rFonts w:ascii="Times New Roman" w:hAnsi="Times New Roman"/>
          <w:b/>
          <w:snapToGrid w:val="0"/>
          <w:szCs w:val="24"/>
          <w:lang w:val="ru-RU"/>
        </w:rPr>
        <w:t xml:space="preserve"> (</w:t>
      </w:r>
      <w:proofErr w:type="spellStart"/>
      <w:r w:rsidRPr="00196D4E">
        <w:rPr>
          <w:rFonts w:ascii="Times New Roman" w:hAnsi="Times New Roman"/>
          <w:b/>
          <w:snapToGrid w:val="0"/>
          <w:szCs w:val="24"/>
          <w:lang w:val="ru-RU"/>
        </w:rPr>
        <w:t>лікарська</w:t>
      </w:r>
      <w:proofErr w:type="spellEnd"/>
      <w:r w:rsidRPr="00196D4E">
        <w:rPr>
          <w:rFonts w:ascii="Times New Roman" w:hAnsi="Times New Roman"/>
          <w:b/>
          <w:snapToGrid w:val="0"/>
          <w:szCs w:val="24"/>
          <w:lang w:val="ru-RU"/>
        </w:rPr>
        <w:t>) форма</w:t>
      </w:r>
    </w:p>
    <w:p w:rsidR="00792D08" w:rsidRPr="00196D4E" w:rsidRDefault="00792D08" w:rsidP="008F0305">
      <w:pPr>
        <w:tabs>
          <w:tab w:val="left" w:pos="567"/>
        </w:tabs>
        <w:ind w:firstLine="567"/>
        <w:rPr>
          <w:rFonts w:ascii="Times New Roman" w:hAnsi="Times New Roman"/>
          <w:bCs/>
          <w:snapToGrid w:val="0"/>
          <w:szCs w:val="24"/>
          <w:lang w:val="uk-UA"/>
        </w:rPr>
      </w:pPr>
      <w:bookmarkStart w:id="5" w:name="_Hlk163202215"/>
      <w:r w:rsidRPr="00196D4E">
        <w:rPr>
          <w:rFonts w:ascii="Times New Roman" w:hAnsi="Times New Roman"/>
          <w:bCs/>
          <w:snapToGrid w:val="0"/>
          <w:szCs w:val="24"/>
          <w:lang w:val="uk-UA"/>
        </w:rPr>
        <w:t>Розчин для ін’єкцій.</w:t>
      </w:r>
    </w:p>
    <w:bookmarkEnd w:id="5"/>
    <w:p w:rsidR="00792D08" w:rsidRPr="00196D4E" w:rsidRDefault="00792D08" w:rsidP="008F0305">
      <w:pPr>
        <w:tabs>
          <w:tab w:val="left" w:pos="567"/>
        </w:tabs>
        <w:ind w:firstLine="567"/>
        <w:rPr>
          <w:rFonts w:ascii="Times New Roman" w:hAnsi="Times New Roman"/>
          <w:b/>
          <w:snapToGrid w:val="0"/>
          <w:szCs w:val="24"/>
          <w:lang w:val="uk-UA"/>
        </w:rPr>
      </w:pPr>
      <w:r w:rsidRPr="00196D4E">
        <w:rPr>
          <w:rFonts w:ascii="Times New Roman" w:hAnsi="Times New Roman"/>
          <w:b/>
          <w:snapToGrid w:val="0"/>
          <w:szCs w:val="24"/>
          <w:lang w:val="uk-UA"/>
        </w:rPr>
        <w:tab/>
        <w:t>4. Фармакологічні властивості</w:t>
      </w:r>
      <w:bookmarkStart w:id="6" w:name="_Hlk161153335"/>
      <w:bookmarkStart w:id="7" w:name="_Hlk161847020"/>
    </w:p>
    <w:p w:rsidR="00196D4E" w:rsidRPr="00196D4E" w:rsidRDefault="00196D4E" w:rsidP="00196D4E">
      <w:pPr>
        <w:tabs>
          <w:tab w:val="left" w:pos="567"/>
        </w:tabs>
        <w:ind w:firstLine="567"/>
        <w:jc w:val="both"/>
        <w:rPr>
          <w:rFonts w:ascii="Times New Roman" w:eastAsia="Calibri" w:hAnsi="Times New Roman"/>
          <w:szCs w:val="24"/>
          <w:lang w:val="uk-UA" w:eastAsia="en-US"/>
        </w:rPr>
      </w:pPr>
      <w:bookmarkStart w:id="8" w:name="_Hlk163205241"/>
      <w:bookmarkEnd w:id="6"/>
      <w:bookmarkEnd w:id="7"/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—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макролідний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антибіотик з бактеріостатичною дією переважно проти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грампозитивних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бактерій, за структурою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близький до еритроміцину.</w:t>
      </w:r>
    </w:p>
    <w:p w:rsidR="00196D4E" w:rsidRPr="00196D4E" w:rsidRDefault="00196D4E" w:rsidP="00196D4E">
      <w:pPr>
        <w:tabs>
          <w:tab w:val="left" w:pos="567"/>
        </w:tabs>
        <w:ind w:firstLine="567"/>
        <w:jc w:val="both"/>
        <w:rPr>
          <w:rFonts w:ascii="Times New Roman" w:eastAsia="Calibri" w:hAnsi="Times New Roman"/>
          <w:szCs w:val="24"/>
          <w:lang w:val="uk-UA" w:eastAsia="en-US"/>
        </w:rPr>
      </w:pP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володіє бактеріостатичною дією переважно проти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грампозитивних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бактерій (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>Erysipelothrix</w:t>
      </w:r>
      <w:proofErr w:type="spellEnd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>rhusiopathiae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>Staphylococcus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szCs w:val="24"/>
          <w:lang w:eastAsia="en-US"/>
        </w:rPr>
        <w:t>spp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.,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>Streptococcus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szCs w:val="24"/>
          <w:lang w:val="uk-UA" w:eastAsia="en-US"/>
        </w:rPr>
        <w:t>spp</w:t>
      </w:r>
      <w:proofErr w:type="spellEnd"/>
      <w:r w:rsidRPr="00196D4E">
        <w:rPr>
          <w:rFonts w:ascii="Times New Roman" w:eastAsia="Calibri" w:hAnsi="Times New Roman"/>
          <w:i/>
          <w:szCs w:val="24"/>
          <w:lang w:val="uk-UA" w:eastAsia="en-US"/>
        </w:rPr>
        <w:t xml:space="preserve">., </w:t>
      </w:r>
      <w:proofErr w:type="spellStart"/>
      <w:r w:rsidRPr="00196D4E">
        <w:rPr>
          <w:rFonts w:ascii="Times New Roman" w:hAnsi="Times New Roman"/>
          <w:i/>
          <w:iCs/>
          <w:szCs w:val="24"/>
          <w:lang w:val="en-US"/>
        </w:rPr>
        <w:t>Arcanobacterium</w:t>
      </w:r>
      <w:proofErr w:type="spellEnd"/>
      <w:r w:rsidRPr="00196D4E">
        <w:rPr>
          <w:rFonts w:ascii="Times New Roman" w:hAnsi="Times New Roman"/>
          <w:i/>
          <w:iCs/>
          <w:szCs w:val="24"/>
          <w:lang w:val="uk-UA"/>
        </w:rPr>
        <w:t xml:space="preserve"> </w:t>
      </w:r>
      <w:proofErr w:type="spellStart"/>
      <w:r w:rsidRPr="00196D4E">
        <w:rPr>
          <w:rFonts w:ascii="Times New Roman" w:hAnsi="Times New Roman"/>
          <w:i/>
          <w:iCs/>
          <w:szCs w:val="24"/>
          <w:lang w:val="en-US"/>
        </w:rPr>
        <w:t>pyogenes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), у тому числі проти багатьох пеніцилін-резистентних бактерій, які продукують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бета-лактамазу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, проти деяких анаеробних бактерій (</w:t>
      </w:r>
      <w:proofErr w:type="spellStart"/>
      <w:r w:rsidRPr="00196D4E">
        <w:rPr>
          <w:rStyle w:val="ac"/>
          <w:rFonts w:ascii="Times New Roman" w:hAnsi="Times New Roman"/>
          <w:bCs/>
          <w:szCs w:val="24"/>
          <w:shd w:val="clear" w:color="auto" w:fill="FFFFFF"/>
        </w:rPr>
        <w:t>Fusobacterium</w:t>
      </w:r>
      <w:proofErr w:type="spellEnd"/>
      <w:r w:rsidRPr="00196D4E">
        <w:rPr>
          <w:rStyle w:val="ac"/>
          <w:rFonts w:ascii="Times New Roman" w:hAnsi="Times New Roman"/>
          <w:bCs/>
          <w:szCs w:val="24"/>
          <w:shd w:val="clear" w:color="auto" w:fill="FFFFFF"/>
          <w:lang w:val="uk-UA"/>
        </w:rPr>
        <w:t xml:space="preserve"> </w:t>
      </w:r>
      <w:proofErr w:type="spellStart"/>
      <w:r w:rsidRPr="00196D4E">
        <w:rPr>
          <w:rStyle w:val="ac"/>
          <w:rFonts w:ascii="Times New Roman" w:hAnsi="Times New Roman"/>
          <w:bCs/>
          <w:szCs w:val="24"/>
          <w:shd w:val="clear" w:color="auto" w:fill="FFFFFF"/>
        </w:rPr>
        <w:t>necrophorum</w:t>
      </w:r>
      <w:proofErr w:type="spellEnd"/>
      <w:r w:rsidRPr="00196D4E">
        <w:rPr>
          <w:rStyle w:val="ac"/>
          <w:rFonts w:ascii="Times New Roman" w:hAnsi="Times New Roman"/>
          <w:bCs/>
          <w:szCs w:val="24"/>
          <w:shd w:val="clear" w:color="auto" w:fill="FFFFFF"/>
          <w:lang w:val="uk-UA"/>
        </w:rPr>
        <w:t>,</w:t>
      </w:r>
      <w:r w:rsidRPr="00196D4E">
        <w:rPr>
          <w:rFonts w:ascii="Times New Roman" w:hAnsi="Times New Roman"/>
          <w:i/>
          <w:iCs/>
          <w:szCs w:val="24"/>
          <w:lang w:val="uk-UA"/>
        </w:rPr>
        <w:t xml:space="preserve"> </w:t>
      </w:r>
      <w:proofErr w:type="spellStart"/>
      <w:r w:rsidRPr="00196D4E">
        <w:rPr>
          <w:rFonts w:ascii="Times New Roman" w:hAnsi="Times New Roman"/>
          <w:i/>
          <w:iCs/>
          <w:szCs w:val="24"/>
          <w:lang w:val="en-US"/>
        </w:rPr>
        <w:t>Treponema</w:t>
      </w:r>
      <w:proofErr w:type="spellEnd"/>
      <w:r w:rsidRPr="00196D4E">
        <w:rPr>
          <w:rFonts w:ascii="Times New Roman" w:hAnsi="Times New Roman"/>
          <w:i/>
          <w:iCs/>
          <w:szCs w:val="24"/>
          <w:lang w:val="uk-UA"/>
        </w:rPr>
        <w:t xml:space="preserve"> </w:t>
      </w:r>
      <w:proofErr w:type="spellStart"/>
      <w:r w:rsidRPr="00196D4E">
        <w:rPr>
          <w:rFonts w:ascii="Times New Roman" w:hAnsi="Times New Roman"/>
          <w:i/>
          <w:iCs/>
          <w:szCs w:val="24"/>
          <w:lang w:val="en-US"/>
        </w:rPr>
        <w:t>hyodysenteriae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), а також проти деяких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грамнегативних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бактерій, таких як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>Bordetella</w:t>
      </w:r>
      <w:proofErr w:type="spellEnd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>bronchiseptica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>Campylobacter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szCs w:val="24"/>
          <w:lang w:eastAsia="en-US"/>
        </w:rPr>
        <w:t>spp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.,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>Pasteurella</w:t>
      </w:r>
      <w:proofErr w:type="spellEnd"/>
      <w:r w:rsidRPr="00196D4E">
        <w:rPr>
          <w:rFonts w:ascii="Times New Roman" w:eastAsia="Calibri" w:hAnsi="Times New Roman"/>
          <w:i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szCs w:val="24"/>
          <w:lang w:val="uk-UA" w:eastAsia="en-US"/>
        </w:rPr>
        <w:t>spp</w:t>
      </w:r>
      <w:proofErr w:type="spellEnd"/>
      <w:r w:rsidRPr="00196D4E">
        <w:rPr>
          <w:rFonts w:ascii="Times New Roman" w:eastAsia="Calibri" w:hAnsi="Times New Roman"/>
          <w:i/>
          <w:szCs w:val="24"/>
          <w:lang w:val="uk-UA" w:eastAsia="en-US"/>
        </w:rPr>
        <w:t>.</w:t>
      </w:r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Чутливі до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мікоплазми (</w:t>
      </w:r>
      <w:r w:rsidRPr="00196D4E">
        <w:rPr>
          <w:rFonts w:ascii="Times New Roman" w:hAnsi="Times New Roman"/>
          <w:i/>
          <w:szCs w:val="24"/>
          <w:lang w:val="en-US"/>
        </w:rPr>
        <w:t>Mycoplasma</w:t>
      </w:r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hyopneumoniae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</w:t>
      </w:r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M</w:t>
      </w:r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 xml:space="preserve">.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synoviae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</w:t>
      </w:r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M</w:t>
      </w:r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 xml:space="preserve">.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meleagridis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</w:t>
      </w:r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M</w:t>
      </w:r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 xml:space="preserve">.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agalactiae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</w:t>
      </w:r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M</w:t>
      </w:r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 xml:space="preserve">.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bovigenitalium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),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хламідії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(</w:t>
      </w:r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Chlamydia</w:t>
      </w:r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szCs w:val="24"/>
          <w:lang w:val="en-US" w:eastAsia="en-US"/>
        </w:rPr>
        <w:t>spp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.) та рикетсії (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val="en-US" w:eastAsia="en-US"/>
        </w:rPr>
        <w:t>Ricketsia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szCs w:val="24"/>
          <w:lang w:val="en-US" w:eastAsia="en-US"/>
        </w:rPr>
        <w:t>spp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.).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проникає у бактеріальні клітини та блокують синтез білка шляхом оборотного зв’язування з 50</w:t>
      </w:r>
      <w:r w:rsidRPr="00196D4E">
        <w:rPr>
          <w:rFonts w:ascii="Times New Roman" w:eastAsia="Calibri" w:hAnsi="Times New Roman"/>
          <w:szCs w:val="24"/>
          <w:lang w:eastAsia="en-US"/>
        </w:rPr>
        <w:t>S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-субодиницями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рибосом, тим самим блокує зв'язування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аміноацил-тРНК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з рибосомою. Дія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макролідів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у мінімальних концентраціях бактеріостатична, а у високих концентраціях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макроліди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діють бактерицидно.</w:t>
      </w:r>
    </w:p>
    <w:p w:rsidR="00196D4E" w:rsidRPr="00196D4E" w:rsidRDefault="00196D4E" w:rsidP="00196D4E">
      <w:pPr>
        <w:tabs>
          <w:tab w:val="left" w:pos="567"/>
        </w:tabs>
        <w:ind w:firstLine="567"/>
        <w:jc w:val="both"/>
        <w:rPr>
          <w:rFonts w:ascii="Arial" w:eastAsia="Calibri" w:hAnsi="Arial" w:cs="Arial"/>
          <w:sz w:val="22"/>
          <w:szCs w:val="22"/>
          <w:lang w:val="uk-UA" w:eastAsia="en-US"/>
        </w:rPr>
      </w:pPr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Як правило,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вводять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внутрішньом’язово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. Після ін’єкції він швидко всмоктується. У свиней після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внутрішньом’язового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введення в дозі 10 мг/кг маси тіла максимальна концентрація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 плазмі крові досягалась через 0,3-3 години, а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біодоступність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становила 95 % від введеної дози. В овець та кіз після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внутрішньом’язової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ін’єкції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у дозі 15 мг/кг маси тіла його максимальні концентрації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 плазмі крові 2,08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мкг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(нубійські кози) і 2,58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мкг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(пустельні вівці) досягалися протягом 3,8 і 3,3 годин, відповідно.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Біодоступність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становила 84% (нубійські кози) і 73% (пустельні вівці). Інше дослідження показало, що найнижча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біодоступність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за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внутрішньом’язовоого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введення козам становила 72,6%. У телят після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внутрішньом’язового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введення у дозі 17,66 мг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 на 1 кг маси тіла його максимальна концентрація становила 2,07-2,3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мкг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і досягалась через 2 години після введення. Після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парентерального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застосування телятам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 дозі 25 мг/кг маси тіла пікові його концентрації (2,07-4,7 і 1,25-2,8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мкг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) досягалися через 2 і 8 годин після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внутрішньом’язової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або підшкірної ін’єкції, відповідно. В іншому дослідженні встановлено, що після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внутрішньом’язового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введення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великій рогатій худобі максимальна концентрація спостерігалася через 5-6 годин після ін’єкції,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біодоступність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у крові становила 70-80%. Порівняльне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фармакокінетичне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дослідження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на великій рогатій худобі та буйволах (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eastAsia="en-US"/>
        </w:rPr>
        <w:t>Bubalus</w:t>
      </w:r>
      <w:proofErr w:type="spellEnd"/>
      <w:r w:rsidRPr="00196D4E">
        <w:rPr>
          <w:rFonts w:ascii="Times New Roman" w:eastAsia="Calibri" w:hAnsi="Times New Roman"/>
          <w:i/>
          <w:iCs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i/>
          <w:iCs/>
          <w:szCs w:val="24"/>
          <w:lang w:eastAsia="en-US"/>
        </w:rPr>
        <w:t>bubalis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) не виявило суттєвих відмінностей у його кінетиці, за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внутрішньом’язового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введення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у формі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тартрату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 дозі 10 мг/кг маси тіла максимальні його концентрації в плазмі крові становили 0,65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мкг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у великої рогатої худоби через 1 годину та 0,47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мкг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- у буйволів через 0,85 години).</w:t>
      </w:r>
      <w:r w:rsidRPr="00196D4E">
        <w:rPr>
          <w:rFonts w:ascii="Arial" w:eastAsia="Calibri" w:hAnsi="Arial" w:cs="Arial"/>
          <w:sz w:val="22"/>
          <w:szCs w:val="22"/>
          <w:lang w:val="uk-UA" w:eastAsia="en-US"/>
        </w:rPr>
        <w:t xml:space="preserve"> </w:t>
      </w:r>
    </w:p>
    <w:p w:rsidR="00196D4E" w:rsidRPr="00196D4E" w:rsidRDefault="00196D4E" w:rsidP="00196D4E">
      <w:pPr>
        <w:tabs>
          <w:tab w:val="left" w:pos="567"/>
        </w:tabs>
        <w:ind w:firstLine="567"/>
        <w:jc w:val="both"/>
        <w:rPr>
          <w:rFonts w:ascii="Times New Roman" w:eastAsia="Calibri" w:hAnsi="Times New Roman"/>
          <w:szCs w:val="24"/>
          <w:lang w:val="uk-UA" w:eastAsia="en-US"/>
        </w:rPr>
      </w:pP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є слабкою органічною основою (</w:t>
      </w:r>
      <w:proofErr w:type="spellStart"/>
      <w:r w:rsidRPr="00196D4E">
        <w:rPr>
          <w:rFonts w:ascii="Times New Roman" w:eastAsia="Calibri" w:hAnsi="Times New Roman"/>
          <w:szCs w:val="24"/>
          <w:lang w:eastAsia="en-US"/>
        </w:rPr>
        <w:t>pKa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= 7,73) з високою розчинністю в ліпідах, тому добре розподіляється в органах і тканинах тварин. Після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перентерального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застосування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широко розподіляється по всьому організму, за винятком центральної нервової системи.</w:t>
      </w:r>
    </w:p>
    <w:p w:rsidR="00196D4E" w:rsidRPr="00196D4E" w:rsidRDefault="00196D4E" w:rsidP="00196D4E">
      <w:pPr>
        <w:tabs>
          <w:tab w:val="left" w:pos="567"/>
        </w:tabs>
        <w:ind w:firstLine="567"/>
        <w:jc w:val="both"/>
        <w:rPr>
          <w:rFonts w:ascii="Times New Roman" w:eastAsia="Calibri" w:hAnsi="Times New Roman"/>
          <w:szCs w:val="24"/>
          <w:lang w:val="uk-UA" w:eastAsia="en-US"/>
        </w:rPr>
      </w:pP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складається в основному з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А (фактор А), але також з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фактору В (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десмікозин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),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фактору С (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макрозин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) і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фактору </w:t>
      </w:r>
      <w:r w:rsidRPr="00196D4E">
        <w:rPr>
          <w:rFonts w:ascii="Times New Roman" w:eastAsia="Calibri" w:hAnsi="Times New Roman"/>
          <w:szCs w:val="24"/>
          <w:lang w:eastAsia="en-US"/>
        </w:rPr>
        <w:t>D</w:t>
      </w:r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(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реломіцин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) у різних кількостях. Більшою частиною біологічної активності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влодіє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А (зазвичай близько 90%). Фактори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r w:rsidRPr="00196D4E">
        <w:rPr>
          <w:rFonts w:ascii="Times New Roman" w:eastAsia="Calibri" w:hAnsi="Times New Roman"/>
          <w:szCs w:val="24"/>
          <w:lang w:eastAsia="en-US"/>
        </w:rPr>
        <w:t>B</w:t>
      </w:r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</w:t>
      </w:r>
      <w:r w:rsidRPr="00196D4E">
        <w:rPr>
          <w:rFonts w:ascii="Times New Roman" w:eastAsia="Calibri" w:hAnsi="Times New Roman"/>
          <w:szCs w:val="24"/>
          <w:lang w:eastAsia="en-US"/>
        </w:rPr>
        <w:t>C</w:t>
      </w:r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</w:t>
      </w:r>
      <w:r w:rsidRPr="00196D4E">
        <w:rPr>
          <w:rFonts w:ascii="Times New Roman" w:eastAsia="Calibri" w:hAnsi="Times New Roman"/>
          <w:szCs w:val="24"/>
          <w:lang w:eastAsia="en-US"/>
        </w:rPr>
        <w:t>D</w:t>
      </w:r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і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дигідродесмікозин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(метаболіт) мають приблизно 50%, 70%, 30% і 15% від активності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А, відповідно. </w:t>
      </w:r>
    </w:p>
    <w:p w:rsidR="00196D4E" w:rsidRPr="00196D4E" w:rsidRDefault="00196D4E" w:rsidP="00196D4E">
      <w:pPr>
        <w:tabs>
          <w:tab w:val="left" w:pos="567"/>
        </w:tabs>
        <w:ind w:firstLine="567"/>
        <w:jc w:val="both"/>
        <w:rPr>
          <w:rFonts w:ascii="Times New Roman" w:eastAsia="Calibri" w:hAnsi="Times New Roman"/>
          <w:szCs w:val="24"/>
          <w:lang w:val="uk-UA" w:eastAsia="en-US"/>
        </w:rPr>
      </w:pPr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Первинний метаболізм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відбувається в печінці. Період напіврозпаду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у новонароджених телят становить 2,3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год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у телят від 1 тижня до 9 місяців – 1-1,5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год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, у корів – 1,6 год. </w:t>
      </w:r>
      <w:r w:rsidRPr="00196D4E">
        <w:rPr>
          <w:rFonts w:ascii="Times New Roman" w:eastAsia="Calibri" w:hAnsi="Times New Roman"/>
          <w:szCs w:val="24"/>
          <w:lang w:val="uk-UA" w:eastAsia="en-US"/>
        </w:rPr>
        <w:lastRenderedPageBreak/>
        <w:t xml:space="preserve">Виведення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відбувається зі швидкістю 23,7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хв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/кг у 7-тижневих телят і 7,8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хв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/кг у корів. У свиней період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напіввиведення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після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внутрішньом’язового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введення в дозі 10 мг/кг маси тіла перевищує 24 години. Загальна екскреція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у 7-тижневих телят становить 23,7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хв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/кг, у корів – 7,8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мл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хв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/кг.</w:t>
      </w:r>
    </w:p>
    <w:p w:rsidR="00196D4E" w:rsidRPr="00196D4E" w:rsidRDefault="00196D4E" w:rsidP="00196D4E">
      <w:pPr>
        <w:tabs>
          <w:tab w:val="left" w:pos="567"/>
        </w:tabs>
        <w:ind w:firstLine="567"/>
        <w:jc w:val="both"/>
        <w:rPr>
          <w:rFonts w:ascii="Times New Roman" w:eastAsia="Calibri" w:hAnsi="Times New Roman"/>
          <w:szCs w:val="24"/>
          <w:lang w:val="uk-UA" w:eastAsia="en-US"/>
        </w:rPr>
      </w:pPr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Виведення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 xml:space="preserve"> відбувається, в основному, з жовчю, але він також виділяється з сечею та молоком. Через нирки виводиться 20-40 % </w:t>
      </w:r>
      <w:proofErr w:type="spellStart"/>
      <w:r w:rsidRPr="00196D4E">
        <w:rPr>
          <w:rFonts w:ascii="Times New Roman" w:eastAsia="Calibri" w:hAnsi="Times New Roman"/>
          <w:szCs w:val="24"/>
          <w:lang w:val="uk-UA" w:eastAsia="en-US"/>
        </w:rPr>
        <w:t>тилозину</w:t>
      </w:r>
      <w:proofErr w:type="spellEnd"/>
      <w:r w:rsidRPr="00196D4E">
        <w:rPr>
          <w:rFonts w:ascii="Times New Roman" w:eastAsia="Calibri" w:hAnsi="Times New Roman"/>
          <w:szCs w:val="24"/>
          <w:lang w:val="uk-UA" w:eastAsia="en-US"/>
        </w:rPr>
        <w:t>, а з фекаліями у незміненому вигляді – 7-10 %.</w:t>
      </w:r>
    </w:p>
    <w:bookmarkEnd w:id="8"/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uk-UA"/>
        </w:rPr>
        <w:t>5. Клінічні особливості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uk-UA"/>
        </w:rPr>
        <w:t>5.1 Вид тварин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>Велика рогата худоба, вівці, кози, свині.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Cs/>
          <w:lang w:val="uk-UA"/>
        </w:rPr>
      </w:pPr>
      <w:r w:rsidRPr="00196D4E">
        <w:rPr>
          <w:rFonts w:ascii="Times New Roman" w:hAnsi="Times New Roman"/>
          <w:b/>
          <w:bCs/>
          <w:lang w:val="uk-UA"/>
        </w:rPr>
        <w:t>5.2 Показання до застосування</w:t>
      </w:r>
    </w:p>
    <w:p w:rsidR="00196D4E" w:rsidRPr="00196D4E" w:rsidRDefault="00196D4E" w:rsidP="00196D4E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nl-NL"/>
        </w:rPr>
      </w:pPr>
      <w:bookmarkStart w:id="9" w:name="_Hlk163205904"/>
      <w:bookmarkStart w:id="10" w:name="_Hlk162271901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Велика рогата худоба: лікування тварин, хворих на </w:t>
      </w:r>
      <w:proofErr w:type="spellStart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>нектротичний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>пододерматит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 (спричинений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Fusobacterium</w:t>
      </w:r>
      <w:proofErr w:type="spellEnd"/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necrophorum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), метрит (спричинений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Arcanobacterium</w:t>
      </w:r>
      <w:proofErr w:type="spellEnd"/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pyogenes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), а також при захворюванні органів дихання (спричинені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Pasteurella</w:t>
      </w:r>
      <w:proofErr w:type="spellEnd"/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multocida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 та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Arcanobacterium</w:t>
      </w:r>
      <w:proofErr w:type="spellEnd"/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pyogenes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), викликаних чутливими до </w:t>
      </w:r>
      <w:proofErr w:type="spellStart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>тилозину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 мікроорганізмами.</w:t>
      </w:r>
    </w:p>
    <w:p w:rsidR="00196D4E" w:rsidRPr="00196D4E" w:rsidRDefault="00196D4E" w:rsidP="00196D4E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nl-NL"/>
        </w:rPr>
      </w:pPr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Вівці, кози: лікування тварин хворих на бронхопневмонію (спричинену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Pasteurella</w:t>
      </w:r>
      <w:proofErr w:type="spellEnd"/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sz w:val="24"/>
          <w:szCs w:val="24"/>
          <w:lang w:val="en-US" w:eastAsia="nl-NL"/>
        </w:rPr>
        <w:t>spp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. та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Bordetella</w:t>
      </w:r>
      <w:proofErr w:type="spellEnd"/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bronchiseptica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), метрит (спричинений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Arcanobacterium</w:t>
      </w:r>
      <w:proofErr w:type="spellEnd"/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pyogenes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), викликаних чутливими до </w:t>
      </w:r>
      <w:proofErr w:type="spellStart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>тилозину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 мікроорганізмами.</w:t>
      </w:r>
    </w:p>
    <w:p w:rsidR="00196D4E" w:rsidRPr="00196D4E" w:rsidRDefault="00196D4E" w:rsidP="00196D4E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ab/>
        <w:t xml:space="preserve">Свині: лікування тварин, хворих на ензоотичну бронхопневмонію (спричинену </w:t>
      </w:r>
      <w:r w:rsidRPr="00196D4E">
        <w:rPr>
          <w:rFonts w:ascii="Times New Roman" w:hAnsi="Times New Roman"/>
          <w:i/>
          <w:sz w:val="24"/>
          <w:szCs w:val="24"/>
          <w:shd w:val="clear" w:color="auto" w:fill="FFFFFF"/>
        </w:rPr>
        <w:t>Mycoplasma hyopneumoniae</w:t>
      </w:r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), бешиху (спричинену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Erysipelothrix</w:t>
      </w:r>
      <w:proofErr w:type="spellEnd"/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rhusiopathiae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), дизентерію (спричинену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Treponema</w:t>
      </w:r>
      <w:proofErr w:type="spellEnd"/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hyodysenteriae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), артрит (спричинений </w:t>
      </w:r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Mycoplasma</w:t>
      </w:r>
      <w:r w:rsidRPr="00196D4E">
        <w:rPr>
          <w:rFonts w:ascii="Times New Roman" w:eastAsia="Times New Roman" w:hAnsi="Times New Roman"/>
          <w:i/>
          <w:iCs/>
          <w:sz w:val="24"/>
          <w:szCs w:val="24"/>
          <w:lang w:val="uk-UA" w:eastAsia="nl-NL"/>
        </w:rPr>
        <w:t xml:space="preserve"> </w:t>
      </w:r>
      <w:proofErr w:type="spellStart"/>
      <w:r w:rsidRPr="00196D4E">
        <w:rPr>
          <w:rFonts w:ascii="Times New Roman" w:eastAsia="Times New Roman" w:hAnsi="Times New Roman"/>
          <w:i/>
          <w:iCs/>
          <w:sz w:val="24"/>
          <w:szCs w:val="24"/>
          <w:lang w:val="en-US" w:eastAsia="nl-NL"/>
        </w:rPr>
        <w:t>synoviae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), </w:t>
      </w:r>
      <w:bookmarkEnd w:id="9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викликаних чутливими до </w:t>
      </w:r>
      <w:proofErr w:type="spellStart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>тилозину</w:t>
      </w:r>
      <w:proofErr w:type="spellEnd"/>
      <w:r w:rsidRPr="00196D4E">
        <w:rPr>
          <w:rFonts w:ascii="Times New Roman" w:eastAsia="Times New Roman" w:hAnsi="Times New Roman"/>
          <w:sz w:val="24"/>
          <w:szCs w:val="24"/>
          <w:lang w:val="uk-UA" w:eastAsia="nl-NL"/>
        </w:rPr>
        <w:t xml:space="preserve"> мікроорганізмами.</w:t>
      </w:r>
    </w:p>
    <w:bookmarkEnd w:id="10"/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uk-UA"/>
        </w:rPr>
        <w:t>5.3 Протипоказання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bookmarkStart w:id="11" w:name="_Hlk163205976"/>
      <w:r w:rsidRPr="00196D4E">
        <w:rPr>
          <w:rFonts w:ascii="Times New Roman" w:hAnsi="Times New Roman"/>
          <w:lang w:val="uk-UA"/>
        </w:rPr>
        <w:t xml:space="preserve">Не застосовувати при підвищеній чутливості до </w:t>
      </w:r>
      <w:proofErr w:type="spellStart"/>
      <w:r w:rsidRPr="00196D4E">
        <w:rPr>
          <w:rFonts w:ascii="Times New Roman" w:hAnsi="Times New Roman"/>
          <w:lang w:val="uk-UA"/>
        </w:rPr>
        <w:t>тилозину</w:t>
      </w:r>
      <w:proofErr w:type="spellEnd"/>
      <w:r w:rsidRPr="00196D4E">
        <w:rPr>
          <w:rFonts w:ascii="Times New Roman" w:hAnsi="Times New Roman"/>
          <w:lang w:val="uk-UA"/>
        </w:rPr>
        <w:t xml:space="preserve">, інших препаратів групи </w:t>
      </w:r>
      <w:proofErr w:type="spellStart"/>
      <w:r w:rsidRPr="00196D4E">
        <w:rPr>
          <w:rFonts w:ascii="Times New Roman" w:hAnsi="Times New Roman"/>
          <w:lang w:val="uk-UA"/>
        </w:rPr>
        <w:t>макролідів</w:t>
      </w:r>
      <w:proofErr w:type="spellEnd"/>
      <w:r w:rsidRPr="00196D4E">
        <w:rPr>
          <w:rFonts w:ascii="Times New Roman" w:hAnsi="Times New Roman"/>
          <w:lang w:val="uk-UA"/>
        </w:rPr>
        <w:t xml:space="preserve"> або до будь-якої з допоміжних речовин.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 xml:space="preserve">Не </w:t>
      </w:r>
      <w:r w:rsidRPr="00196D4E">
        <w:rPr>
          <w:rFonts w:ascii="Times New Roman" w:hAnsi="Times New Roman"/>
          <w:lang w:val="nl-NL"/>
        </w:rPr>
        <w:t>п</w:t>
      </w:r>
      <w:proofErr w:type="spellStart"/>
      <w:r w:rsidRPr="00196D4E">
        <w:rPr>
          <w:rFonts w:ascii="Times New Roman" w:hAnsi="Times New Roman"/>
          <w:lang w:val="uk-UA"/>
        </w:rPr>
        <w:t>ризначати</w:t>
      </w:r>
      <w:proofErr w:type="spellEnd"/>
      <w:r w:rsidRPr="00196D4E">
        <w:rPr>
          <w:rFonts w:ascii="Times New Roman" w:hAnsi="Times New Roman"/>
          <w:lang w:val="uk-UA"/>
        </w:rPr>
        <w:t xml:space="preserve"> </w:t>
      </w:r>
      <w:proofErr w:type="spellStart"/>
      <w:r w:rsidRPr="00196D4E">
        <w:rPr>
          <w:rFonts w:ascii="Times New Roman" w:hAnsi="Times New Roman"/>
          <w:lang w:val="uk-UA"/>
        </w:rPr>
        <w:t>кон</w:t>
      </w:r>
      <w:proofErr w:type="spellEnd"/>
      <w:r w:rsidRPr="00196D4E">
        <w:rPr>
          <w:rFonts w:ascii="Times New Roman" w:hAnsi="Times New Roman"/>
          <w:lang w:val="nl-NL"/>
        </w:rPr>
        <w:t>я</w:t>
      </w:r>
      <w:r w:rsidRPr="00196D4E">
        <w:rPr>
          <w:rFonts w:ascii="Times New Roman" w:hAnsi="Times New Roman"/>
          <w:lang w:val="uk-UA"/>
        </w:rPr>
        <w:t>м.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>Не застосовувати тваринам з розладами функції печінки.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>Не застосовувати тваринам в перший тиждень життя.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>Не застосовувати під час вакцинації.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 xml:space="preserve">Не застосовувати одночасно з </w:t>
      </w:r>
      <w:proofErr w:type="spellStart"/>
      <w:r w:rsidRPr="00196D4E">
        <w:rPr>
          <w:rFonts w:ascii="Times New Roman" w:hAnsi="Times New Roman"/>
          <w:lang w:val="uk-UA"/>
        </w:rPr>
        <w:t>пеніцилінами</w:t>
      </w:r>
      <w:proofErr w:type="spellEnd"/>
      <w:r w:rsidRPr="00196D4E">
        <w:rPr>
          <w:rFonts w:ascii="Times New Roman" w:hAnsi="Times New Roman"/>
          <w:lang w:val="uk-UA"/>
        </w:rPr>
        <w:t xml:space="preserve">, </w:t>
      </w:r>
      <w:proofErr w:type="spellStart"/>
      <w:r w:rsidRPr="00196D4E">
        <w:rPr>
          <w:rFonts w:ascii="Times New Roman" w:hAnsi="Times New Roman"/>
          <w:lang w:val="uk-UA"/>
        </w:rPr>
        <w:t>цефалоспаринами</w:t>
      </w:r>
      <w:proofErr w:type="spellEnd"/>
      <w:r w:rsidRPr="00196D4E">
        <w:rPr>
          <w:rFonts w:ascii="Times New Roman" w:hAnsi="Times New Roman"/>
          <w:lang w:val="uk-UA"/>
        </w:rPr>
        <w:t xml:space="preserve"> та </w:t>
      </w:r>
      <w:proofErr w:type="spellStart"/>
      <w:r w:rsidRPr="00196D4E">
        <w:rPr>
          <w:rFonts w:ascii="Times New Roman" w:hAnsi="Times New Roman"/>
          <w:lang w:val="uk-UA"/>
        </w:rPr>
        <w:t>лінкоміцином</w:t>
      </w:r>
      <w:proofErr w:type="spellEnd"/>
      <w:r w:rsidRPr="00196D4E">
        <w:rPr>
          <w:rFonts w:ascii="Times New Roman" w:hAnsi="Times New Roman"/>
          <w:lang w:val="uk-UA"/>
        </w:rPr>
        <w:t xml:space="preserve"> через виражене зниження антибактеріального ефекту </w:t>
      </w:r>
      <w:proofErr w:type="spellStart"/>
      <w:r w:rsidRPr="00196D4E">
        <w:rPr>
          <w:rFonts w:ascii="Times New Roman" w:hAnsi="Times New Roman"/>
          <w:lang w:val="uk-UA"/>
        </w:rPr>
        <w:t>тилозину</w:t>
      </w:r>
      <w:proofErr w:type="spellEnd"/>
      <w:r w:rsidRPr="00196D4E">
        <w:rPr>
          <w:rFonts w:ascii="Times New Roman" w:hAnsi="Times New Roman"/>
          <w:lang w:val="uk-UA"/>
        </w:rPr>
        <w:t>.</w:t>
      </w:r>
    </w:p>
    <w:bookmarkEnd w:id="11"/>
    <w:p w:rsidR="00196D4E" w:rsidRPr="00196D4E" w:rsidRDefault="00196D4E" w:rsidP="00196D4E">
      <w:pPr>
        <w:widowControl w:val="0"/>
        <w:numPr>
          <w:ilvl w:val="1"/>
          <w:numId w:val="3"/>
        </w:numPr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uk-UA"/>
        </w:rPr>
        <w:t>Побічна дія</w:t>
      </w:r>
      <w:bookmarkStart w:id="12" w:name="_GoBack"/>
      <w:bookmarkEnd w:id="12"/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snapToGrid w:val="0"/>
          <w:szCs w:val="24"/>
          <w:lang w:val="uk-UA"/>
        </w:rPr>
      </w:pPr>
      <w:bookmarkStart w:id="13" w:name="_Hlk163206752"/>
      <w:proofErr w:type="spellStart"/>
      <w:r w:rsidRPr="00196D4E">
        <w:rPr>
          <w:rFonts w:ascii="Times New Roman" w:hAnsi="Times New Roman"/>
          <w:snapToGrid w:val="0"/>
          <w:szCs w:val="24"/>
          <w:lang w:val="uk-UA"/>
        </w:rPr>
        <w:t>Можлив</w:t>
      </w:r>
      <w:proofErr w:type="spellEnd"/>
      <w:r w:rsidRPr="00196D4E">
        <w:rPr>
          <w:rFonts w:ascii="Times New Roman" w:hAnsi="Times New Roman"/>
          <w:snapToGrid w:val="0"/>
          <w:szCs w:val="24"/>
          <w:lang w:val="nl-NL"/>
        </w:rPr>
        <w:t>і</w:t>
      </w:r>
      <w:r w:rsidRPr="00196D4E">
        <w:rPr>
          <w:rFonts w:ascii="Times New Roman" w:hAnsi="Times New Roman"/>
          <w:snapToGrid w:val="0"/>
          <w:szCs w:val="24"/>
          <w:lang w:val="uk-UA"/>
        </w:rPr>
        <w:t>:</w:t>
      </w:r>
    </w:p>
    <w:p w:rsidR="00196D4E" w:rsidRPr="00196D4E" w:rsidRDefault="00196D4E" w:rsidP="00196D4E">
      <w:pPr>
        <w:widowControl w:val="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napToGrid w:val="0"/>
          <w:szCs w:val="24"/>
          <w:lang w:val="uk-UA"/>
        </w:rPr>
      </w:pPr>
      <w:r w:rsidRPr="00196D4E">
        <w:rPr>
          <w:rFonts w:ascii="Times New Roman" w:hAnsi="Times New Roman"/>
          <w:snapToGrid w:val="0"/>
          <w:szCs w:val="24"/>
          <w:lang w:val="uk-UA"/>
        </w:rPr>
        <w:t xml:space="preserve">реакції  </w:t>
      </w:r>
      <w:proofErr w:type="spellStart"/>
      <w:r w:rsidRPr="00196D4E">
        <w:rPr>
          <w:rFonts w:ascii="Times New Roman" w:hAnsi="Times New Roman"/>
          <w:snapToGrid w:val="0"/>
          <w:szCs w:val="24"/>
          <w:lang w:val="uk-UA"/>
        </w:rPr>
        <w:t>гіперчутливості</w:t>
      </w:r>
      <w:proofErr w:type="spellEnd"/>
      <w:r w:rsidRPr="00196D4E">
        <w:rPr>
          <w:rFonts w:ascii="Times New Roman" w:hAnsi="Times New Roman"/>
          <w:snapToGrid w:val="0"/>
          <w:szCs w:val="24"/>
          <w:lang w:val="uk-UA"/>
        </w:rPr>
        <w:t>;</w:t>
      </w:r>
    </w:p>
    <w:p w:rsidR="00196D4E" w:rsidRPr="00196D4E" w:rsidRDefault="00196D4E" w:rsidP="00196D4E">
      <w:pPr>
        <w:widowControl w:val="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napToGrid w:val="0"/>
          <w:szCs w:val="24"/>
          <w:lang w:val="uk-UA"/>
        </w:rPr>
      </w:pPr>
      <w:r w:rsidRPr="00196D4E">
        <w:rPr>
          <w:rFonts w:ascii="Times New Roman" w:hAnsi="Times New Roman"/>
          <w:snapToGrid w:val="0"/>
          <w:szCs w:val="24"/>
          <w:lang w:val="uk-UA"/>
        </w:rPr>
        <w:t xml:space="preserve">місцеві </w:t>
      </w:r>
      <w:proofErr w:type="spellStart"/>
      <w:r w:rsidRPr="00196D4E">
        <w:rPr>
          <w:rFonts w:ascii="Times New Roman" w:hAnsi="Times New Roman"/>
          <w:snapToGrid w:val="0"/>
          <w:szCs w:val="24"/>
          <w:lang w:val="uk-UA"/>
        </w:rPr>
        <w:t>транзиторні</w:t>
      </w:r>
      <w:proofErr w:type="spellEnd"/>
      <w:r w:rsidRPr="00196D4E">
        <w:rPr>
          <w:rFonts w:ascii="Times New Roman" w:hAnsi="Times New Roman"/>
          <w:snapToGrid w:val="0"/>
          <w:szCs w:val="24"/>
          <w:lang w:val="uk-UA"/>
        </w:rPr>
        <w:t xml:space="preserve"> реакції – біль та/або набряк;</w:t>
      </w:r>
    </w:p>
    <w:p w:rsidR="00196D4E" w:rsidRPr="00196D4E" w:rsidRDefault="00196D4E" w:rsidP="00196D4E">
      <w:pPr>
        <w:widowControl w:val="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napToGrid w:val="0"/>
          <w:szCs w:val="24"/>
          <w:lang w:val="uk-UA"/>
        </w:rPr>
      </w:pPr>
      <w:r w:rsidRPr="00196D4E">
        <w:rPr>
          <w:rFonts w:ascii="Times New Roman" w:hAnsi="Times New Roman"/>
          <w:snapToGrid w:val="0"/>
          <w:szCs w:val="24"/>
          <w:lang w:val="uk-UA"/>
        </w:rPr>
        <w:t>біль у грудях, блювання, діарея, анорексія;</w:t>
      </w:r>
    </w:p>
    <w:p w:rsidR="00196D4E" w:rsidRPr="00196D4E" w:rsidRDefault="00196D4E" w:rsidP="00196D4E">
      <w:pPr>
        <w:widowControl w:val="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napToGrid w:val="0"/>
          <w:szCs w:val="24"/>
          <w:lang w:val="uk-UA"/>
        </w:rPr>
      </w:pPr>
      <w:r w:rsidRPr="00196D4E">
        <w:rPr>
          <w:rFonts w:ascii="Times New Roman" w:hAnsi="Times New Roman"/>
          <w:snapToGrid w:val="0"/>
          <w:szCs w:val="24"/>
          <w:lang w:val="uk-UA"/>
        </w:rPr>
        <w:t>набряк слизової прямої кишки, невелике випинання заднього проходу зі сверблячкою, еритема та діарея у свиней.</w:t>
      </w:r>
    </w:p>
    <w:bookmarkEnd w:id="13"/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ru-RU"/>
        </w:rPr>
        <w:t>5.</w:t>
      </w:r>
      <w:r w:rsidRPr="00196D4E">
        <w:rPr>
          <w:rFonts w:ascii="Times New Roman" w:hAnsi="Times New Roman"/>
          <w:b/>
          <w:snapToGrid w:val="0"/>
          <w:lang w:val="uk-UA"/>
        </w:rPr>
        <w:t>5</w:t>
      </w:r>
      <w:r w:rsidRPr="00196D4E">
        <w:rPr>
          <w:rFonts w:ascii="Times New Roman" w:hAnsi="Times New Roman"/>
          <w:b/>
          <w:snapToGrid w:val="0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Особливі</w:t>
      </w:r>
      <w:proofErr w:type="spellEnd"/>
      <w:r w:rsidRPr="00196D4E">
        <w:rPr>
          <w:rFonts w:ascii="Times New Roman" w:hAnsi="Times New Roman"/>
          <w:b/>
          <w:snapToGrid w:val="0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застереження</w:t>
      </w:r>
      <w:proofErr w:type="spellEnd"/>
      <w:r w:rsidRPr="00196D4E">
        <w:rPr>
          <w:rFonts w:ascii="Times New Roman" w:hAnsi="Times New Roman"/>
          <w:b/>
          <w:snapToGrid w:val="0"/>
          <w:lang w:val="ru-RU"/>
        </w:rPr>
        <w:t xml:space="preserve"> при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використанні</w:t>
      </w:r>
      <w:proofErr w:type="spellEnd"/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>При застосуванні даного ветеринарного препарату слід враховувати загальноприйняті основні принципи застосування антибактеріальних препаратів.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 xml:space="preserve">Перед застосуванням препарату рекомендовано зробити тест на чутливість збудників </w:t>
      </w:r>
      <w:proofErr w:type="spellStart"/>
      <w:r w:rsidRPr="00196D4E">
        <w:rPr>
          <w:rFonts w:ascii="Times New Roman" w:hAnsi="Times New Roman"/>
          <w:lang w:val="uk-UA"/>
        </w:rPr>
        <w:t>захорювання</w:t>
      </w:r>
      <w:proofErr w:type="spellEnd"/>
      <w:r w:rsidRPr="00196D4E">
        <w:rPr>
          <w:rFonts w:ascii="Times New Roman" w:hAnsi="Times New Roman"/>
          <w:lang w:val="uk-UA"/>
        </w:rPr>
        <w:t xml:space="preserve">, виділених від хворих тварин, до </w:t>
      </w:r>
      <w:proofErr w:type="spellStart"/>
      <w:r w:rsidRPr="00196D4E">
        <w:rPr>
          <w:rFonts w:ascii="Times New Roman" w:hAnsi="Times New Roman"/>
          <w:lang w:val="uk-UA"/>
        </w:rPr>
        <w:t>тилозину</w:t>
      </w:r>
      <w:proofErr w:type="spellEnd"/>
      <w:r w:rsidRPr="00196D4E">
        <w:rPr>
          <w:rFonts w:ascii="Times New Roman" w:hAnsi="Times New Roman"/>
          <w:lang w:val="uk-UA"/>
        </w:rPr>
        <w:t>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>Якщо це неможливо, лікування має ґрунтуватися на місцевій (регіональній, фермерській) епізоотологічній інформації про чутливість цільових бактерій.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 xml:space="preserve">Застосування препарату з порушенням інструкцій, наведених в КХП або листівці-вкладці на препарат, може сприяти поширенню бактерій, стійких до </w:t>
      </w:r>
      <w:proofErr w:type="spellStart"/>
      <w:r w:rsidRPr="00196D4E">
        <w:rPr>
          <w:rFonts w:ascii="Times New Roman" w:hAnsi="Times New Roman"/>
          <w:lang w:val="uk-UA"/>
        </w:rPr>
        <w:t>тилозину</w:t>
      </w:r>
      <w:proofErr w:type="spellEnd"/>
      <w:r w:rsidRPr="00196D4E">
        <w:rPr>
          <w:rFonts w:ascii="Times New Roman" w:hAnsi="Times New Roman"/>
          <w:lang w:val="uk-UA"/>
        </w:rPr>
        <w:t xml:space="preserve">, і через можливу перехресну резистентність знизити ефективність лікування при застосуванні інших </w:t>
      </w:r>
      <w:proofErr w:type="spellStart"/>
      <w:r w:rsidRPr="00196D4E">
        <w:rPr>
          <w:rFonts w:ascii="Times New Roman" w:hAnsi="Times New Roman"/>
          <w:lang w:val="uk-UA"/>
        </w:rPr>
        <w:t>макролідних</w:t>
      </w:r>
      <w:proofErr w:type="spellEnd"/>
      <w:r w:rsidRPr="00196D4E">
        <w:rPr>
          <w:rFonts w:ascii="Times New Roman" w:hAnsi="Times New Roman"/>
          <w:lang w:val="uk-UA"/>
        </w:rPr>
        <w:t xml:space="preserve"> антибіотиків.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uk-UA"/>
        </w:rPr>
        <w:t>5.6 Використання під час вагітності, лактації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bookmarkStart w:id="14" w:name="_Hlk163206847"/>
      <w:r w:rsidRPr="00196D4E">
        <w:rPr>
          <w:rFonts w:ascii="Times New Roman" w:hAnsi="Times New Roman"/>
          <w:lang w:val="uk-UA"/>
        </w:rPr>
        <w:t>Застосовувати під час вагітності тільки після оцінки співвідношення користі та ризику лікарем ветеринарної медицини.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>Допускається застосування в період лактації.</w:t>
      </w:r>
    </w:p>
    <w:bookmarkEnd w:id="14"/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uk-UA"/>
        </w:rPr>
        <w:t>5.7 Взаємодія з іншими засобами та інші форми взаємодії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bookmarkStart w:id="15" w:name="_Hlk163207596"/>
      <w:r w:rsidRPr="00196D4E">
        <w:rPr>
          <w:rFonts w:ascii="Times New Roman" w:hAnsi="Times New Roman"/>
          <w:lang w:val="uk-UA"/>
        </w:rPr>
        <w:lastRenderedPageBreak/>
        <w:t xml:space="preserve">Одночасне застосування </w:t>
      </w:r>
      <w:proofErr w:type="spellStart"/>
      <w:r w:rsidRPr="00196D4E">
        <w:rPr>
          <w:rFonts w:ascii="Times New Roman" w:hAnsi="Times New Roman"/>
          <w:lang w:val="uk-UA"/>
        </w:rPr>
        <w:t>тилозину</w:t>
      </w:r>
      <w:proofErr w:type="spellEnd"/>
      <w:r w:rsidRPr="00196D4E">
        <w:rPr>
          <w:rFonts w:ascii="Times New Roman" w:hAnsi="Times New Roman"/>
          <w:lang w:val="uk-UA"/>
        </w:rPr>
        <w:t xml:space="preserve"> з </w:t>
      </w:r>
      <w:proofErr w:type="spellStart"/>
      <w:r w:rsidRPr="00196D4E">
        <w:rPr>
          <w:rFonts w:ascii="Times New Roman" w:hAnsi="Times New Roman"/>
          <w:lang w:val="uk-UA"/>
        </w:rPr>
        <w:t>пеніцилінами</w:t>
      </w:r>
      <w:proofErr w:type="spellEnd"/>
      <w:r w:rsidRPr="00196D4E">
        <w:rPr>
          <w:rFonts w:ascii="Times New Roman" w:hAnsi="Times New Roman"/>
          <w:lang w:val="uk-UA"/>
        </w:rPr>
        <w:t xml:space="preserve"> або бактерицидними антибіотиками може призвести до їх антагонізму.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lang w:val="uk-UA"/>
        </w:rPr>
      </w:pPr>
      <w:r w:rsidRPr="00196D4E">
        <w:rPr>
          <w:rFonts w:ascii="Times New Roman" w:hAnsi="Times New Roman"/>
          <w:lang w:val="uk-UA"/>
        </w:rPr>
        <w:t xml:space="preserve">Не застосовувати одночасно з </w:t>
      </w:r>
      <w:proofErr w:type="spellStart"/>
      <w:r w:rsidRPr="00196D4E">
        <w:rPr>
          <w:rFonts w:ascii="Times New Roman" w:hAnsi="Times New Roman"/>
          <w:lang w:val="uk-UA"/>
        </w:rPr>
        <w:t>пеніцилінами</w:t>
      </w:r>
      <w:proofErr w:type="spellEnd"/>
      <w:r w:rsidRPr="00196D4E">
        <w:rPr>
          <w:rFonts w:ascii="Times New Roman" w:hAnsi="Times New Roman"/>
          <w:lang w:val="uk-UA"/>
        </w:rPr>
        <w:t xml:space="preserve">, </w:t>
      </w:r>
      <w:proofErr w:type="spellStart"/>
      <w:r w:rsidRPr="00196D4E">
        <w:rPr>
          <w:rFonts w:ascii="Times New Roman" w:hAnsi="Times New Roman"/>
          <w:lang w:val="uk-UA"/>
        </w:rPr>
        <w:t>цефалоспаринами</w:t>
      </w:r>
      <w:proofErr w:type="spellEnd"/>
      <w:r w:rsidRPr="00196D4E">
        <w:rPr>
          <w:rFonts w:ascii="Times New Roman" w:hAnsi="Times New Roman"/>
          <w:lang w:val="uk-UA"/>
        </w:rPr>
        <w:t xml:space="preserve"> та </w:t>
      </w:r>
      <w:proofErr w:type="spellStart"/>
      <w:r w:rsidRPr="00196D4E">
        <w:rPr>
          <w:rFonts w:ascii="Times New Roman" w:hAnsi="Times New Roman"/>
          <w:lang w:val="uk-UA"/>
        </w:rPr>
        <w:t>лінкоміцином</w:t>
      </w:r>
      <w:proofErr w:type="spellEnd"/>
      <w:r w:rsidRPr="00196D4E">
        <w:rPr>
          <w:rFonts w:ascii="Times New Roman" w:hAnsi="Times New Roman"/>
          <w:lang w:val="uk-UA"/>
        </w:rPr>
        <w:t xml:space="preserve"> через виражене зниження антибактеріального ефекту </w:t>
      </w:r>
      <w:proofErr w:type="spellStart"/>
      <w:r w:rsidRPr="00196D4E">
        <w:rPr>
          <w:rFonts w:ascii="Times New Roman" w:hAnsi="Times New Roman"/>
          <w:lang w:val="uk-UA"/>
        </w:rPr>
        <w:t>тилозину</w:t>
      </w:r>
      <w:proofErr w:type="spellEnd"/>
      <w:r w:rsidRPr="00196D4E">
        <w:rPr>
          <w:rFonts w:ascii="Times New Roman" w:hAnsi="Times New Roman"/>
          <w:lang w:val="uk-UA"/>
        </w:rPr>
        <w:t>.</w:t>
      </w:r>
    </w:p>
    <w:bookmarkEnd w:id="15"/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ru-RU"/>
        </w:rPr>
        <w:t>5.</w:t>
      </w:r>
      <w:r w:rsidRPr="00196D4E">
        <w:rPr>
          <w:rFonts w:ascii="Times New Roman" w:hAnsi="Times New Roman"/>
          <w:b/>
          <w:snapToGrid w:val="0"/>
          <w:lang w:val="uk-UA"/>
        </w:rPr>
        <w:t>8</w:t>
      </w:r>
      <w:r w:rsidRPr="00196D4E">
        <w:rPr>
          <w:rFonts w:ascii="Times New Roman" w:hAnsi="Times New Roman"/>
          <w:b/>
          <w:snapToGrid w:val="0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Дози</w:t>
      </w:r>
      <w:proofErr w:type="spellEnd"/>
      <w:r w:rsidRPr="00196D4E">
        <w:rPr>
          <w:rFonts w:ascii="Times New Roman" w:hAnsi="Times New Roman"/>
          <w:b/>
          <w:snapToGrid w:val="0"/>
          <w:lang w:val="ru-RU"/>
        </w:rPr>
        <w:t xml:space="preserve"> і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способи</w:t>
      </w:r>
      <w:proofErr w:type="spellEnd"/>
      <w:r w:rsidRPr="00196D4E">
        <w:rPr>
          <w:rFonts w:ascii="Times New Roman" w:hAnsi="Times New Roman"/>
          <w:b/>
          <w:snapToGrid w:val="0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введення</w:t>
      </w:r>
      <w:proofErr w:type="spellEnd"/>
    </w:p>
    <w:p w:rsidR="00196D4E" w:rsidRPr="00196D4E" w:rsidRDefault="00196D4E" w:rsidP="00196D4E">
      <w:pPr>
        <w:pStyle w:val="a3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16" w:name="_Hlk163205943"/>
      <w:proofErr w:type="spellStart"/>
      <w:r w:rsidRPr="00196D4E">
        <w:rPr>
          <w:rFonts w:ascii="Times New Roman" w:hAnsi="Times New Roman"/>
          <w:sz w:val="24"/>
          <w:szCs w:val="24"/>
          <w:lang w:val="uk-UA" w:eastAsia="ru-RU"/>
        </w:rPr>
        <w:t>Внутрішьном’язово</w:t>
      </w:r>
      <w:proofErr w:type="spellEnd"/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 один раз на добу протягом 3-5 діб у дозах:</w:t>
      </w:r>
    </w:p>
    <w:p w:rsidR="00196D4E" w:rsidRPr="00196D4E" w:rsidRDefault="00196D4E" w:rsidP="00196D4E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велика рогата худоба – 0,2-0,5 </w:t>
      </w:r>
      <w:proofErr w:type="spellStart"/>
      <w:r w:rsidRPr="00196D4E">
        <w:rPr>
          <w:rFonts w:ascii="Times New Roman" w:hAnsi="Times New Roman"/>
          <w:sz w:val="24"/>
          <w:szCs w:val="24"/>
          <w:lang w:val="uk-UA" w:eastAsia="ru-RU"/>
        </w:rPr>
        <w:t>мл</w:t>
      </w:r>
      <w:proofErr w:type="spellEnd"/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 препарату на 10 кг маси тіла, що еквівалентно 4-10 мг </w:t>
      </w:r>
      <w:proofErr w:type="spellStart"/>
      <w:r w:rsidRPr="00196D4E">
        <w:rPr>
          <w:rFonts w:ascii="Times New Roman" w:hAnsi="Times New Roman"/>
          <w:sz w:val="24"/>
          <w:szCs w:val="24"/>
          <w:lang w:val="uk-UA" w:eastAsia="ru-RU"/>
        </w:rPr>
        <w:t>тилозину</w:t>
      </w:r>
      <w:proofErr w:type="spellEnd"/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 на 1 кг маси тіла;</w:t>
      </w:r>
    </w:p>
    <w:p w:rsidR="00196D4E" w:rsidRPr="00196D4E" w:rsidRDefault="00196D4E" w:rsidP="00196D4E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вівці, кози – 0,5 </w:t>
      </w:r>
      <w:proofErr w:type="spellStart"/>
      <w:r w:rsidRPr="00196D4E">
        <w:rPr>
          <w:rFonts w:ascii="Times New Roman" w:hAnsi="Times New Roman"/>
          <w:sz w:val="24"/>
          <w:szCs w:val="24"/>
          <w:lang w:val="uk-UA" w:eastAsia="ru-RU"/>
        </w:rPr>
        <w:t>мл</w:t>
      </w:r>
      <w:proofErr w:type="spellEnd"/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 препарату на 10 кг маси тіла, що еквівалентно 10 мг </w:t>
      </w:r>
      <w:proofErr w:type="spellStart"/>
      <w:r w:rsidRPr="00196D4E">
        <w:rPr>
          <w:rFonts w:ascii="Times New Roman" w:hAnsi="Times New Roman"/>
          <w:sz w:val="24"/>
          <w:szCs w:val="24"/>
          <w:lang w:val="uk-UA" w:eastAsia="ru-RU"/>
        </w:rPr>
        <w:t>тилозину</w:t>
      </w:r>
      <w:proofErr w:type="spellEnd"/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 на 10 кг маси тіла;</w:t>
      </w:r>
    </w:p>
    <w:p w:rsidR="00196D4E" w:rsidRPr="00196D4E" w:rsidRDefault="00196D4E" w:rsidP="00196D4E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свині – 0,1-0,5 </w:t>
      </w:r>
      <w:proofErr w:type="spellStart"/>
      <w:r w:rsidRPr="00196D4E">
        <w:rPr>
          <w:rFonts w:ascii="Times New Roman" w:hAnsi="Times New Roman"/>
          <w:sz w:val="24"/>
          <w:szCs w:val="24"/>
          <w:lang w:val="uk-UA" w:eastAsia="ru-RU"/>
        </w:rPr>
        <w:t>мл</w:t>
      </w:r>
      <w:proofErr w:type="spellEnd"/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 препарату на 10 кг маси тіла, що еквівалентно 2-10 мг </w:t>
      </w:r>
      <w:proofErr w:type="spellStart"/>
      <w:r w:rsidRPr="00196D4E">
        <w:rPr>
          <w:rFonts w:ascii="Times New Roman" w:hAnsi="Times New Roman"/>
          <w:sz w:val="24"/>
          <w:szCs w:val="24"/>
          <w:lang w:val="uk-UA" w:eastAsia="ru-RU"/>
        </w:rPr>
        <w:t>тилозину</w:t>
      </w:r>
      <w:proofErr w:type="spellEnd"/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 на 10 кг маси тіла.</w:t>
      </w:r>
    </w:p>
    <w:p w:rsidR="00196D4E" w:rsidRPr="00196D4E" w:rsidRDefault="00196D4E" w:rsidP="00196D4E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За відсутності відповіді на лікування через 5 діб терапії, рекомендовано переглянути діагноз та лікування. Якщо доза препарату при введенні перевищує 15 </w:t>
      </w:r>
      <w:proofErr w:type="spellStart"/>
      <w:r w:rsidRPr="00196D4E">
        <w:rPr>
          <w:rFonts w:ascii="Times New Roman" w:hAnsi="Times New Roman"/>
          <w:sz w:val="24"/>
          <w:szCs w:val="24"/>
          <w:lang w:val="uk-UA" w:eastAsia="ru-RU"/>
        </w:rPr>
        <w:t>мл</w:t>
      </w:r>
      <w:proofErr w:type="spellEnd"/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 для великої рогатої худоби, 5 </w:t>
      </w:r>
      <w:proofErr w:type="spellStart"/>
      <w:r w:rsidRPr="00196D4E">
        <w:rPr>
          <w:rFonts w:ascii="Times New Roman" w:hAnsi="Times New Roman"/>
          <w:sz w:val="24"/>
          <w:szCs w:val="24"/>
          <w:lang w:val="uk-UA" w:eastAsia="ru-RU"/>
        </w:rPr>
        <w:t>мл</w:t>
      </w:r>
      <w:proofErr w:type="spellEnd"/>
      <w:r w:rsidRPr="00196D4E">
        <w:rPr>
          <w:rFonts w:ascii="Times New Roman" w:hAnsi="Times New Roman"/>
          <w:sz w:val="24"/>
          <w:szCs w:val="24"/>
          <w:lang w:val="uk-UA" w:eastAsia="ru-RU"/>
        </w:rPr>
        <w:t xml:space="preserve"> – для свиней, то об’єм ін’єкції розділяють на половину і вводять у різні місця.</w:t>
      </w:r>
    </w:p>
    <w:bookmarkEnd w:id="16"/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ru-RU"/>
        </w:rPr>
        <w:t>5.</w:t>
      </w:r>
      <w:r w:rsidRPr="00196D4E">
        <w:rPr>
          <w:rFonts w:ascii="Times New Roman" w:hAnsi="Times New Roman"/>
          <w:b/>
          <w:snapToGrid w:val="0"/>
          <w:lang w:val="uk-UA"/>
        </w:rPr>
        <w:t>9</w:t>
      </w:r>
      <w:r w:rsidRPr="00196D4E">
        <w:rPr>
          <w:rFonts w:ascii="Times New Roman" w:hAnsi="Times New Roman"/>
          <w:b/>
          <w:snapToGrid w:val="0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Передозування</w:t>
      </w:r>
      <w:proofErr w:type="spellEnd"/>
      <w:r w:rsidRPr="00196D4E">
        <w:rPr>
          <w:rFonts w:ascii="Times New Roman" w:hAnsi="Times New Roman"/>
          <w:b/>
          <w:snapToGrid w:val="0"/>
          <w:lang w:val="ru-RU"/>
        </w:rPr>
        <w:t xml:space="preserve"> (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симптоми</w:t>
      </w:r>
      <w:proofErr w:type="spellEnd"/>
      <w:r w:rsidRPr="00196D4E">
        <w:rPr>
          <w:rFonts w:ascii="Times New Roman" w:hAnsi="Times New Roman"/>
          <w:b/>
          <w:snapToGrid w:val="0"/>
          <w:lang w:val="ru-RU"/>
        </w:rPr>
        <w:t xml:space="preserve">,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невідкладні</w:t>
      </w:r>
      <w:proofErr w:type="spellEnd"/>
      <w:r w:rsidRPr="00196D4E">
        <w:rPr>
          <w:rFonts w:ascii="Times New Roman" w:hAnsi="Times New Roman"/>
          <w:b/>
          <w:snapToGrid w:val="0"/>
          <w:lang w:val="ru-RU"/>
        </w:rPr>
        <w:t xml:space="preserve"> заходи,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антидоти</w:t>
      </w:r>
      <w:proofErr w:type="spellEnd"/>
      <w:r w:rsidRPr="00196D4E">
        <w:rPr>
          <w:rFonts w:ascii="Times New Roman" w:hAnsi="Times New Roman"/>
          <w:b/>
          <w:snapToGrid w:val="0"/>
          <w:lang w:val="ru-RU"/>
        </w:rPr>
        <w:t>)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snapToGrid w:val="0"/>
          <w:lang w:val="uk-UA"/>
        </w:rPr>
      </w:pPr>
      <w:r w:rsidRPr="00196D4E">
        <w:rPr>
          <w:rFonts w:ascii="Times New Roman" w:hAnsi="Times New Roman"/>
          <w:snapToGrid w:val="0"/>
          <w:lang w:val="uk-UA"/>
        </w:rPr>
        <w:t xml:space="preserve">Відомо про випадки шоку та смерті поросят, які отримали передозування </w:t>
      </w:r>
      <w:proofErr w:type="spellStart"/>
      <w:r w:rsidRPr="00196D4E">
        <w:rPr>
          <w:rFonts w:ascii="Times New Roman" w:hAnsi="Times New Roman"/>
          <w:snapToGrid w:val="0"/>
          <w:lang w:val="uk-UA"/>
        </w:rPr>
        <w:t>тилозином</w:t>
      </w:r>
      <w:proofErr w:type="spellEnd"/>
      <w:r w:rsidRPr="00196D4E">
        <w:rPr>
          <w:rFonts w:ascii="Times New Roman" w:hAnsi="Times New Roman"/>
          <w:snapToGrid w:val="0"/>
          <w:lang w:val="uk-UA"/>
        </w:rPr>
        <w:t>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snapToGrid w:val="0"/>
          <w:lang w:val="uk-UA"/>
        </w:rPr>
      </w:pPr>
      <w:r w:rsidRPr="00196D4E">
        <w:rPr>
          <w:rFonts w:ascii="Times New Roman" w:hAnsi="Times New Roman"/>
          <w:snapToGrid w:val="0"/>
          <w:lang w:val="uk-UA"/>
        </w:rPr>
        <w:t xml:space="preserve">При </w:t>
      </w:r>
      <w:proofErr w:type="spellStart"/>
      <w:r w:rsidRPr="00196D4E">
        <w:rPr>
          <w:rFonts w:ascii="Times New Roman" w:hAnsi="Times New Roman"/>
          <w:snapToGrid w:val="0"/>
          <w:lang w:val="uk-UA"/>
        </w:rPr>
        <w:t>внутрішньом’язовому</w:t>
      </w:r>
      <w:proofErr w:type="spellEnd"/>
      <w:r w:rsidRPr="00196D4E">
        <w:rPr>
          <w:rFonts w:ascii="Times New Roman" w:hAnsi="Times New Roman"/>
          <w:snapToGrid w:val="0"/>
          <w:lang w:val="uk-UA"/>
        </w:rPr>
        <w:t xml:space="preserve"> введенні LD</w:t>
      </w:r>
      <w:r w:rsidRPr="00196D4E">
        <w:rPr>
          <w:rFonts w:ascii="Times New Roman" w:hAnsi="Times New Roman"/>
          <w:snapToGrid w:val="0"/>
          <w:vertAlign w:val="subscript"/>
          <w:lang w:val="uk-UA"/>
        </w:rPr>
        <w:t>50</w:t>
      </w:r>
      <w:r w:rsidRPr="00196D4E">
        <w:rPr>
          <w:rFonts w:ascii="Times New Roman" w:hAnsi="Times New Roman"/>
          <w:snapToGrid w:val="0"/>
          <w:lang w:val="uk-UA"/>
        </w:rPr>
        <w:t xml:space="preserve"> </w:t>
      </w:r>
      <w:proofErr w:type="spellStart"/>
      <w:r w:rsidRPr="00196D4E">
        <w:rPr>
          <w:rFonts w:ascii="Times New Roman" w:hAnsi="Times New Roman"/>
          <w:snapToGrid w:val="0"/>
          <w:lang w:val="uk-UA"/>
        </w:rPr>
        <w:t>тилозину</w:t>
      </w:r>
      <w:proofErr w:type="spellEnd"/>
      <w:r w:rsidRPr="00196D4E">
        <w:rPr>
          <w:rFonts w:ascii="Times New Roman" w:hAnsi="Times New Roman"/>
          <w:snapToGrid w:val="0"/>
          <w:lang w:val="uk-UA"/>
        </w:rPr>
        <w:t xml:space="preserve"> становить приблизно 1 г/кг маси тіла свиней.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snapToGrid w:val="0"/>
          <w:lang w:val="uk-UA"/>
        </w:rPr>
      </w:pPr>
      <w:r w:rsidRPr="00196D4E">
        <w:rPr>
          <w:rFonts w:ascii="Times New Roman" w:hAnsi="Times New Roman"/>
          <w:snapToGrid w:val="0"/>
          <w:lang w:val="uk-UA"/>
        </w:rPr>
        <w:t>Не перевищувати рекомендовані дози.</w:t>
      </w:r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b/>
          <w:snapToGrid w:val="0"/>
          <w:lang w:val="uk-UA"/>
        </w:rPr>
      </w:pPr>
      <w:r w:rsidRPr="00196D4E">
        <w:rPr>
          <w:rFonts w:ascii="Times New Roman" w:hAnsi="Times New Roman"/>
          <w:b/>
          <w:snapToGrid w:val="0"/>
          <w:lang w:val="ru-RU"/>
        </w:rPr>
        <w:t>5.</w:t>
      </w:r>
      <w:r w:rsidRPr="00196D4E">
        <w:rPr>
          <w:rFonts w:ascii="Times New Roman" w:hAnsi="Times New Roman"/>
          <w:b/>
          <w:snapToGrid w:val="0"/>
          <w:lang w:val="uk-UA"/>
        </w:rPr>
        <w:t>10</w:t>
      </w:r>
      <w:r w:rsidRPr="00196D4E">
        <w:rPr>
          <w:rFonts w:ascii="Times New Roman" w:hAnsi="Times New Roman"/>
          <w:b/>
          <w:snapToGrid w:val="0"/>
          <w:lang w:val="ru-RU"/>
        </w:rPr>
        <w:t xml:space="preserve"> </w:t>
      </w:r>
      <w:proofErr w:type="spellStart"/>
      <w:proofErr w:type="gramStart"/>
      <w:r w:rsidRPr="00196D4E">
        <w:rPr>
          <w:rFonts w:ascii="Times New Roman" w:hAnsi="Times New Roman"/>
          <w:b/>
          <w:snapToGrid w:val="0"/>
          <w:lang w:val="ru-RU"/>
        </w:rPr>
        <w:t>Спец</w:t>
      </w:r>
      <w:proofErr w:type="gramEnd"/>
      <w:r w:rsidRPr="00196D4E">
        <w:rPr>
          <w:rFonts w:ascii="Times New Roman" w:hAnsi="Times New Roman"/>
          <w:b/>
          <w:snapToGrid w:val="0"/>
          <w:lang w:val="ru-RU"/>
        </w:rPr>
        <w:t>іальні</w:t>
      </w:r>
      <w:proofErr w:type="spellEnd"/>
      <w:r w:rsidRPr="00196D4E">
        <w:rPr>
          <w:rFonts w:ascii="Times New Roman" w:hAnsi="Times New Roman"/>
          <w:b/>
          <w:snapToGrid w:val="0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lang w:val="ru-RU"/>
        </w:rPr>
        <w:t>застереження</w:t>
      </w:r>
      <w:proofErr w:type="spellEnd"/>
    </w:p>
    <w:p w:rsidR="00196D4E" w:rsidRPr="00196D4E" w:rsidRDefault="00196D4E" w:rsidP="00196D4E">
      <w:pPr>
        <w:widowControl w:val="0"/>
        <w:ind w:firstLine="567"/>
        <w:jc w:val="both"/>
        <w:rPr>
          <w:rFonts w:ascii="Times New Roman" w:hAnsi="Times New Roman"/>
          <w:snapToGrid w:val="0"/>
          <w:lang w:val="uk-UA"/>
        </w:rPr>
      </w:pPr>
      <w:r w:rsidRPr="00196D4E">
        <w:rPr>
          <w:rFonts w:ascii="Times New Roman" w:hAnsi="Times New Roman"/>
          <w:snapToGrid w:val="0"/>
          <w:lang w:val="uk-UA"/>
        </w:rPr>
        <w:t>Відсутні.</w:t>
      </w:r>
    </w:p>
    <w:p w:rsidR="00792D08" w:rsidRPr="00196D4E" w:rsidRDefault="00792D08" w:rsidP="008F0305">
      <w:pPr>
        <w:widowControl w:val="0"/>
        <w:numPr>
          <w:ilvl w:val="1"/>
          <w:numId w:val="1"/>
        </w:numPr>
        <w:jc w:val="both"/>
        <w:rPr>
          <w:rFonts w:ascii="Times New Roman" w:hAnsi="Times New Roman"/>
          <w:b/>
          <w:snapToGrid w:val="0"/>
          <w:szCs w:val="24"/>
          <w:lang w:val="uk-UA"/>
        </w:rPr>
      </w:pPr>
      <w:proofErr w:type="spellStart"/>
      <w:r w:rsidRPr="00196D4E">
        <w:rPr>
          <w:rFonts w:ascii="Times New Roman" w:hAnsi="Times New Roman"/>
          <w:b/>
          <w:snapToGrid w:val="0"/>
          <w:szCs w:val="24"/>
          <w:lang w:val="ru-RU"/>
        </w:rPr>
        <w:t>Період</w:t>
      </w:r>
      <w:proofErr w:type="spellEnd"/>
      <w:r w:rsidRPr="00196D4E">
        <w:rPr>
          <w:rFonts w:ascii="Times New Roman" w:hAnsi="Times New Roman"/>
          <w:b/>
          <w:snapToGrid w:val="0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szCs w:val="24"/>
          <w:lang w:val="ru-RU"/>
        </w:rPr>
        <w:t>виведення</w:t>
      </w:r>
      <w:proofErr w:type="spellEnd"/>
      <w:r w:rsidRPr="00196D4E">
        <w:rPr>
          <w:rFonts w:ascii="Times New Roman" w:hAnsi="Times New Roman"/>
          <w:b/>
          <w:snapToGrid w:val="0"/>
          <w:szCs w:val="24"/>
          <w:lang w:val="ru-RU"/>
        </w:rPr>
        <w:t xml:space="preserve"> (</w:t>
      </w:r>
      <w:proofErr w:type="spellStart"/>
      <w:r w:rsidRPr="00196D4E">
        <w:rPr>
          <w:rFonts w:ascii="Times New Roman" w:hAnsi="Times New Roman"/>
          <w:b/>
          <w:snapToGrid w:val="0"/>
          <w:szCs w:val="24"/>
          <w:lang w:val="ru-RU"/>
        </w:rPr>
        <w:t>каренції</w:t>
      </w:r>
      <w:proofErr w:type="spellEnd"/>
      <w:r w:rsidRPr="00196D4E">
        <w:rPr>
          <w:rFonts w:ascii="Times New Roman" w:hAnsi="Times New Roman"/>
          <w:b/>
          <w:snapToGrid w:val="0"/>
          <w:szCs w:val="24"/>
          <w:lang w:val="ru-RU"/>
        </w:rPr>
        <w:t>)</w:t>
      </w:r>
    </w:p>
    <w:p w:rsidR="00792D08" w:rsidRPr="00196D4E" w:rsidRDefault="00792D08" w:rsidP="008F0305">
      <w:pPr>
        <w:tabs>
          <w:tab w:val="left" w:pos="-720"/>
          <w:tab w:val="left" w:pos="0"/>
          <w:tab w:val="left" w:pos="533"/>
          <w:tab w:val="left" w:pos="739"/>
          <w:tab w:val="left" w:pos="950"/>
          <w:tab w:val="left" w:pos="1200"/>
          <w:tab w:val="left" w:pos="1440"/>
          <w:tab w:val="left" w:pos="1920"/>
          <w:tab w:val="left" w:pos="2760"/>
          <w:tab w:val="left" w:pos="3600"/>
          <w:tab w:val="left" w:pos="3952"/>
          <w:tab w:val="left" w:pos="4320"/>
          <w:tab w:val="left" w:pos="4592"/>
          <w:tab w:val="left" w:pos="5040"/>
        </w:tabs>
        <w:ind w:firstLine="567"/>
        <w:jc w:val="both"/>
        <w:rPr>
          <w:rFonts w:ascii="Times New Roman" w:hAnsi="Times New Roman"/>
          <w:spacing w:val="-3"/>
          <w:szCs w:val="24"/>
          <w:lang w:val="uk-UA"/>
        </w:rPr>
      </w:pPr>
      <w:bookmarkStart w:id="17" w:name="_Hlk161153504"/>
      <w:bookmarkStart w:id="18" w:name="_Hlk161847920"/>
      <w:bookmarkStart w:id="19" w:name="_Hlk161905988"/>
      <w:r w:rsidRPr="00196D4E">
        <w:rPr>
          <w:rFonts w:ascii="Times New Roman" w:hAnsi="Times New Roman"/>
          <w:spacing w:val="-3"/>
          <w:szCs w:val="24"/>
          <w:lang w:val="uk-UA"/>
        </w:rPr>
        <w:t>Забій на м</w:t>
      </w:r>
      <w:r w:rsidRPr="00196D4E">
        <w:rPr>
          <w:rFonts w:ascii="Times New Roman" w:hAnsi="Times New Roman"/>
          <w:spacing w:val="-3"/>
          <w:szCs w:val="24"/>
          <w:lang w:val="ru-RU"/>
        </w:rPr>
        <w:t>’</w:t>
      </w:r>
      <w:r w:rsidRPr="00196D4E">
        <w:rPr>
          <w:rFonts w:ascii="Times New Roman" w:hAnsi="Times New Roman"/>
          <w:spacing w:val="-3"/>
          <w:szCs w:val="24"/>
          <w:lang w:val="uk-UA"/>
        </w:rPr>
        <w:t>ясо великої рогатої худоби дозволяється через 28 діб, свиней - через 16 діб, овець та кіз - через 42 дні після останнього введення препарату.</w:t>
      </w:r>
    </w:p>
    <w:p w:rsidR="00792D08" w:rsidRPr="00196D4E" w:rsidRDefault="00792D08" w:rsidP="008F0305">
      <w:pPr>
        <w:tabs>
          <w:tab w:val="left" w:pos="-720"/>
          <w:tab w:val="left" w:pos="0"/>
          <w:tab w:val="left" w:pos="539"/>
          <w:tab w:val="left" w:pos="739"/>
          <w:tab w:val="left" w:pos="950"/>
          <w:tab w:val="left" w:pos="1200"/>
          <w:tab w:val="left" w:pos="1440"/>
          <w:tab w:val="left" w:pos="1920"/>
          <w:tab w:val="left" w:pos="2760"/>
          <w:tab w:val="left" w:pos="3600"/>
          <w:tab w:val="left" w:pos="3952"/>
          <w:tab w:val="left" w:pos="4320"/>
          <w:tab w:val="left" w:pos="4592"/>
          <w:tab w:val="left" w:pos="5040"/>
        </w:tabs>
        <w:ind w:firstLine="567"/>
        <w:jc w:val="both"/>
        <w:rPr>
          <w:rFonts w:ascii="Times New Roman" w:hAnsi="Times New Roman"/>
          <w:spacing w:val="-3"/>
          <w:szCs w:val="24"/>
          <w:lang w:val="uk-UA"/>
        </w:rPr>
      </w:pPr>
      <w:r w:rsidRPr="00196D4E">
        <w:rPr>
          <w:rFonts w:ascii="Times New Roman" w:hAnsi="Times New Roman"/>
          <w:spacing w:val="-3"/>
          <w:szCs w:val="24"/>
          <w:lang w:val="uk-UA"/>
        </w:rPr>
        <w:t xml:space="preserve">Споживання молока великої рогатої худоби дозволяється через 5 діб, овець та кіз - через 4 доби. </w:t>
      </w:r>
    </w:p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196D4E">
        <w:rPr>
          <w:rFonts w:ascii="Times New Roman" w:hAnsi="Times New Roman"/>
          <w:szCs w:val="24"/>
          <w:lang w:val="ru-RU"/>
        </w:rPr>
        <w:t>Отримане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до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зазначеного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терміну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proofErr w:type="gramStart"/>
      <w:r w:rsidRPr="00196D4E">
        <w:rPr>
          <w:rFonts w:ascii="Times New Roman" w:hAnsi="Times New Roman"/>
          <w:szCs w:val="24"/>
          <w:lang w:val="ru-RU"/>
        </w:rPr>
        <w:t>м'ясо</w:t>
      </w:r>
      <w:proofErr w:type="spellEnd"/>
      <w:proofErr w:type="gramEnd"/>
      <w:r w:rsidRPr="00196D4E">
        <w:rPr>
          <w:rFonts w:ascii="Times New Roman" w:hAnsi="Times New Roman"/>
          <w:szCs w:val="24"/>
          <w:lang w:val="ru-RU"/>
        </w:rPr>
        <w:t xml:space="preserve"> та молоко </w:t>
      </w:r>
      <w:proofErr w:type="spellStart"/>
      <w:r w:rsidRPr="00196D4E">
        <w:rPr>
          <w:rFonts w:ascii="Times New Roman" w:hAnsi="Times New Roman"/>
          <w:szCs w:val="24"/>
          <w:lang w:val="ru-RU"/>
        </w:rPr>
        <w:t>утилізують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або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згодовують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непродуктивним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тваринам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залежно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від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висновку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лікаря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ветеринарної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медицини</w:t>
      </w:r>
      <w:proofErr w:type="spellEnd"/>
      <w:r w:rsidRPr="00196D4E">
        <w:rPr>
          <w:rFonts w:ascii="Times New Roman" w:hAnsi="Times New Roman"/>
          <w:szCs w:val="24"/>
          <w:lang w:val="ru-RU"/>
        </w:rPr>
        <w:t>.</w:t>
      </w:r>
    </w:p>
    <w:bookmarkEnd w:id="17"/>
    <w:bookmarkEnd w:id="18"/>
    <w:p w:rsidR="00792D08" w:rsidRPr="00196D4E" w:rsidRDefault="00792D08" w:rsidP="008F0305">
      <w:pPr>
        <w:widowControl w:val="0"/>
        <w:jc w:val="both"/>
        <w:rPr>
          <w:rFonts w:ascii="Times New Roman" w:hAnsi="Times New Roman"/>
          <w:szCs w:val="24"/>
          <w:lang w:val="ru-RU"/>
        </w:rPr>
      </w:pPr>
    </w:p>
    <w:bookmarkEnd w:id="19"/>
    <w:p w:rsidR="00792D08" w:rsidRPr="00196D4E" w:rsidRDefault="00792D08" w:rsidP="008F0305">
      <w:pPr>
        <w:ind w:firstLine="567"/>
        <w:rPr>
          <w:rFonts w:ascii="Times New Roman" w:hAnsi="Times New Roman"/>
          <w:b/>
          <w:szCs w:val="24"/>
          <w:lang w:val="uk-UA"/>
        </w:rPr>
      </w:pPr>
      <w:r w:rsidRPr="00196D4E">
        <w:rPr>
          <w:rFonts w:ascii="Times New Roman" w:hAnsi="Times New Roman"/>
          <w:b/>
          <w:szCs w:val="24"/>
          <w:lang w:val="ru-RU"/>
        </w:rPr>
        <w:t>5.1</w:t>
      </w:r>
      <w:r w:rsidRPr="00196D4E">
        <w:rPr>
          <w:rFonts w:ascii="Times New Roman" w:hAnsi="Times New Roman"/>
          <w:b/>
          <w:szCs w:val="24"/>
          <w:lang w:val="uk-UA"/>
        </w:rPr>
        <w:t>2</w:t>
      </w:r>
      <w:r w:rsidRPr="00196D4E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zCs w:val="24"/>
          <w:lang w:val="ru-RU"/>
        </w:rPr>
        <w:t>Спеціальні</w:t>
      </w:r>
      <w:proofErr w:type="spellEnd"/>
      <w:r w:rsidRPr="00196D4E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zCs w:val="24"/>
          <w:lang w:val="ru-RU"/>
        </w:rPr>
        <w:t>застереження</w:t>
      </w:r>
      <w:proofErr w:type="spellEnd"/>
      <w:r w:rsidRPr="00196D4E">
        <w:rPr>
          <w:rFonts w:ascii="Times New Roman" w:hAnsi="Times New Roman"/>
          <w:b/>
          <w:szCs w:val="24"/>
          <w:lang w:val="ru-RU"/>
        </w:rPr>
        <w:t xml:space="preserve"> для </w:t>
      </w:r>
      <w:proofErr w:type="spellStart"/>
      <w:proofErr w:type="gramStart"/>
      <w:r w:rsidRPr="00196D4E">
        <w:rPr>
          <w:rFonts w:ascii="Times New Roman" w:hAnsi="Times New Roman"/>
          <w:b/>
          <w:szCs w:val="24"/>
          <w:lang w:val="ru-RU"/>
        </w:rPr>
        <w:t>осіб</w:t>
      </w:r>
      <w:proofErr w:type="spellEnd"/>
      <w:proofErr w:type="gramEnd"/>
      <w:r w:rsidRPr="00196D4E">
        <w:rPr>
          <w:rFonts w:ascii="Times New Roman" w:hAnsi="Times New Roman"/>
          <w:b/>
          <w:szCs w:val="24"/>
          <w:lang w:val="ru-RU"/>
        </w:rPr>
        <w:t xml:space="preserve"> і </w:t>
      </w:r>
      <w:proofErr w:type="spellStart"/>
      <w:r w:rsidRPr="00196D4E">
        <w:rPr>
          <w:rFonts w:ascii="Times New Roman" w:hAnsi="Times New Roman"/>
          <w:b/>
          <w:szCs w:val="24"/>
          <w:lang w:val="ru-RU"/>
        </w:rPr>
        <w:t>обслуговуючого</w:t>
      </w:r>
      <w:proofErr w:type="spellEnd"/>
      <w:r w:rsidRPr="00196D4E">
        <w:rPr>
          <w:rFonts w:ascii="Times New Roman" w:hAnsi="Times New Roman"/>
          <w:b/>
          <w:szCs w:val="24"/>
          <w:lang w:val="ru-RU"/>
        </w:rPr>
        <w:t xml:space="preserve"> персоналу</w:t>
      </w:r>
    </w:p>
    <w:p w:rsidR="00792D08" w:rsidRPr="00196D4E" w:rsidRDefault="00792D08" w:rsidP="008F0305">
      <w:pPr>
        <w:ind w:firstLine="567"/>
        <w:jc w:val="both"/>
        <w:rPr>
          <w:rFonts w:ascii="Times New Roman" w:hAnsi="Times New Roman"/>
          <w:szCs w:val="24"/>
          <w:lang w:val="uk-UA"/>
        </w:rPr>
      </w:pPr>
      <w:r w:rsidRPr="00196D4E">
        <w:rPr>
          <w:rFonts w:ascii="Times New Roman" w:hAnsi="Times New Roman"/>
          <w:szCs w:val="24"/>
          <w:lang w:val="uk-UA"/>
        </w:rPr>
        <w:t xml:space="preserve">У разі випадкової </w:t>
      </w:r>
      <w:proofErr w:type="spellStart"/>
      <w:r w:rsidRPr="00196D4E">
        <w:rPr>
          <w:rFonts w:ascii="Times New Roman" w:hAnsi="Times New Roman"/>
          <w:szCs w:val="24"/>
          <w:lang w:val="uk-UA"/>
        </w:rPr>
        <w:t>самоін’єкції</w:t>
      </w:r>
      <w:proofErr w:type="spellEnd"/>
      <w:r w:rsidRPr="00196D4E">
        <w:rPr>
          <w:rFonts w:ascii="Times New Roman" w:hAnsi="Times New Roman"/>
          <w:szCs w:val="24"/>
          <w:lang w:val="uk-UA"/>
        </w:rPr>
        <w:t xml:space="preserve">, проковтування, контакту зі шкірою або потрапляння в очі негайно зверніться за медичною допомогою та покажіть лікарю інструкцію із застосування або етикетку на упаковці. Особам з підвищеною чутливістю до </w:t>
      </w:r>
      <w:proofErr w:type="spellStart"/>
      <w:r w:rsidRPr="00196D4E">
        <w:rPr>
          <w:rFonts w:ascii="Times New Roman" w:hAnsi="Times New Roman"/>
          <w:szCs w:val="24"/>
          <w:lang w:val="uk-UA"/>
        </w:rPr>
        <w:t>макролідів</w:t>
      </w:r>
      <w:proofErr w:type="spellEnd"/>
      <w:r w:rsidRPr="00196D4E">
        <w:rPr>
          <w:rFonts w:ascii="Times New Roman" w:hAnsi="Times New Roman"/>
          <w:szCs w:val="24"/>
          <w:lang w:val="uk-UA"/>
        </w:rPr>
        <w:t xml:space="preserve"> слід уникати контакту з цим ветеринарним препаратом. </w:t>
      </w:r>
      <w:r w:rsidRPr="00196D4E">
        <w:rPr>
          <w:rFonts w:ascii="Times New Roman" w:hAnsi="Times New Roman"/>
          <w:szCs w:val="24"/>
          <w:lang w:val="nl-NL"/>
        </w:rPr>
        <w:t>В</w:t>
      </w:r>
      <w:proofErr w:type="spellStart"/>
      <w:r w:rsidRPr="00196D4E">
        <w:rPr>
          <w:rFonts w:ascii="Times New Roman" w:hAnsi="Times New Roman"/>
          <w:szCs w:val="24"/>
          <w:lang w:val="uk-UA"/>
        </w:rPr>
        <w:t>ідомо</w:t>
      </w:r>
      <w:proofErr w:type="spellEnd"/>
      <w:r w:rsidRPr="00196D4E">
        <w:rPr>
          <w:rFonts w:ascii="Times New Roman" w:hAnsi="Times New Roman"/>
          <w:szCs w:val="24"/>
          <w:lang w:val="uk-UA"/>
        </w:rPr>
        <w:t xml:space="preserve"> про алергічні реакції на </w:t>
      </w:r>
      <w:proofErr w:type="spellStart"/>
      <w:r w:rsidRPr="00196D4E">
        <w:rPr>
          <w:rFonts w:ascii="Times New Roman" w:hAnsi="Times New Roman"/>
          <w:szCs w:val="24"/>
          <w:lang w:val="uk-UA"/>
        </w:rPr>
        <w:t>тилозин</w:t>
      </w:r>
      <w:proofErr w:type="spellEnd"/>
      <w:r w:rsidRPr="00196D4E">
        <w:rPr>
          <w:rFonts w:ascii="Times New Roman" w:hAnsi="Times New Roman"/>
          <w:szCs w:val="24"/>
          <w:lang w:val="uk-UA"/>
        </w:rPr>
        <w:t xml:space="preserve">. Даний ветеринарний препарат слід застосовувати з обережністю, дотримуючись усіх запобіжних заходів. </w:t>
      </w:r>
    </w:p>
    <w:p w:rsidR="00792D08" w:rsidRPr="00196D4E" w:rsidRDefault="00792D08" w:rsidP="008F0305">
      <w:pPr>
        <w:ind w:firstLine="567"/>
        <w:jc w:val="both"/>
        <w:rPr>
          <w:rFonts w:ascii="Times New Roman" w:hAnsi="Times New Roman"/>
          <w:szCs w:val="24"/>
          <w:lang w:val="uk-UA"/>
        </w:rPr>
      </w:pPr>
      <w:r w:rsidRPr="00196D4E">
        <w:rPr>
          <w:rFonts w:ascii="Times New Roman" w:hAnsi="Times New Roman"/>
          <w:szCs w:val="24"/>
          <w:lang w:val="uk-UA"/>
        </w:rPr>
        <w:t>Вимийте руки після введення цього ветеринарного лікарського засобу.</w:t>
      </w:r>
    </w:p>
    <w:p w:rsidR="00792D08" w:rsidRPr="00196D4E" w:rsidRDefault="00792D08" w:rsidP="008F0305">
      <w:pPr>
        <w:ind w:firstLine="567"/>
        <w:jc w:val="both"/>
        <w:rPr>
          <w:rFonts w:ascii="Times New Roman" w:hAnsi="Times New Roman"/>
          <w:szCs w:val="24"/>
          <w:lang w:val="uk-UA"/>
        </w:rPr>
      </w:pPr>
      <w:r w:rsidRPr="00196D4E">
        <w:rPr>
          <w:rFonts w:ascii="Times New Roman" w:hAnsi="Times New Roman"/>
          <w:szCs w:val="24"/>
          <w:lang w:val="uk-UA"/>
        </w:rPr>
        <w:t>Зберігати в недоступному для дітей місці.</w:t>
      </w:r>
    </w:p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b/>
          <w:snapToGrid w:val="0"/>
          <w:szCs w:val="24"/>
          <w:lang w:val="uk-UA"/>
        </w:rPr>
      </w:pPr>
      <w:r w:rsidRPr="00196D4E">
        <w:rPr>
          <w:rFonts w:ascii="Times New Roman" w:hAnsi="Times New Roman"/>
          <w:b/>
          <w:snapToGrid w:val="0"/>
          <w:szCs w:val="24"/>
          <w:lang w:val="ru-RU"/>
        </w:rPr>
        <w:t>6. Ф</w:t>
      </w:r>
      <w:proofErr w:type="spellStart"/>
      <w:r w:rsidRPr="00196D4E">
        <w:rPr>
          <w:rFonts w:ascii="Times New Roman" w:hAnsi="Times New Roman"/>
          <w:b/>
          <w:snapToGrid w:val="0"/>
          <w:szCs w:val="24"/>
          <w:lang w:val="uk-UA"/>
        </w:rPr>
        <w:t>армацевтичні</w:t>
      </w:r>
      <w:proofErr w:type="spellEnd"/>
      <w:r w:rsidRPr="00196D4E">
        <w:rPr>
          <w:rFonts w:ascii="Times New Roman" w:hAnsi="Times New Roman"/>
          <w:b/>
          <w:snapToGrid w:val="0"/>
          <w:szCs w:val="24"/>
          <w:lang w:val="uk-UA"/>
        </w:rPr>
        <w:t xml:space="preserve"> особливості</w:t>
      </w:r>
    </w:p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b/>
          <w:bCs/>
          <w:szCs w:val="24"/>
          <w:lang w:val="uk-UA"/>
        </w:rPr>
      </w:pPr>
      <w:r w:rsidRPr="00196D4E">
        <w:rPr>
          <w:rFonts w:ascii="Times New Roman" w:hAnsi="Times New Roman"/>
          <w:b/>
          <w:bCs/>
          <w:szCs w:val="24"/>
          <w:lang w:val="uk-UA"/>
        </w:rPr>
        <w:t>6.</w:t>
      </w:r>
      <w:r w:rsidRPr="00196D4E">
        <w:rPr>
          <w:rFonts w:ascii="Times New Roman" w:hAnsi="Times New Roman"/>
          <w:b/>
          <w:bCs/>
          <w:szCs w:val="24"/>
          <w:lang w:val="ru-RU"/>
        </w:rPr>
        <w:t xml:space="preserve">1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Форми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несумісності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 xml:space="preserve"> (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основні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>)</w:t>
      </w:r>
    </w:p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bCs/>
          <w:snapToGrid w:val="0"/>
          <w:szCs w:val="24"/>
          <w:lang w:val="uk-UA"/>
        </w:rPr>
      </w:pPr>
      <w:r w:rsidRPr="00196D4E">
        <w:rPr>
          <w:rFonts w:ascii="Times New Roman" w:hAnsi="Times New Roman"/>
          <w:szCs w:val="24"/>
          <w:lang w:val="ru-RU"/>
        </w:rPr>
        <w:t xml:space="preserve">Через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відсутність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proofErr w:type="gramStart"/>
      <w:r w:rsidRPr="00196D4E">
        <w:rPr>
          <w:rFonts w:ascii="Times New Roman" w:hAnsi="Times New Roman"/>
          <w:szCs w:val="24"/>
          <w:lang w:val="ru-RU"/>
        </w:rPr>
        <w:t>досл</w:t>
      </w:r>
      <w:proofErr w:type="gramEnd"/>
      <w:r w:rsidRPr="00196D4E">
        <w:rPr>
          <w:rFonts w:ascii="Times New Roman" w:hAnsi="Times New Roman"/>
          <w:szCs w:val="24"/>
          <w:lang w:val="ru-RU"/>
        </w:rPr>
        <w:t>іджень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сумісності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даний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ветеринарний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лікарський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засіб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не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можна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змішувати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з </w:t>
      </w:r>
      <w:proofErr w:type="spellStart"/>
      <w:r w:rsidRPr="00196D4E">
        <w:rPr>
          <w:rFonts w:ascii="Times New Roman" w:hAnsi="Times New Roman"/>
          <w:szCs w:val="24"/>
          <w:lang w:val="ru-RU"/>
        </w:rPr>
        <w:t>іншими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ветеринарни</w:t>
      </w:r>
      <w:proofErr w:type="spellEnd"/>
      <w:r w:rsidRPr="00196D4E">
        <w:rPr>
          <w:rFonts w:ascii="Times New Roman" w:hAnsi="Times New Roman"/>
          <w:szCs w:val="24"/>
          <w:lang w:val="uk-UA"/>
        </w:rPr>
        <w:t>ми</w:t>
      </w:r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лікарськи</w:t>
      </w:r>
      <w:proofErr w:type="spellEnd"/>
      <w:r w:rsidRPr="00196D4E">
        <w:rPr>
          <w:rFonts w:ascii="Times New Roman" w:hAnsi="Times New Roman"/>
          <w:szCs w:val="24"/>
          <w:lang w:val="uk-UA"/>
        </w:rPr>
        <w:t>ми</w:t>
      </w:r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засоба</w:t>
      </w:r>
      <w:proofErr w:type="spellEnd"/>
      <w:r w:rsidRPr="00196D4E">
        <w:rPr>
          <w:rFonts w:ascii="Times New Roman" w:hAnsi="Times New Roman"/>
          <w:szCs w:val="24"/>
          <w:lang w:val="uk-UA"/>
        </w:rPr>
        <w:t>ми.</w:t>
      </w:r>
    </w:p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b/>
          <w:snapToGrid w:val="0"/>
          <w:szCs w:val="24"/>
          <w:lang w:val="uk-UA"/>
        </w:rPr>
      </w:pPr>
      <w:r w:rsidRPr="00196D4E">
        <w:rPr>
          <w:rFonts w:ascii="Times New Roman" w:hAnsi="Times New Roman"/>
          <w:b/>
          <w:snapToGrid w:val="0"/>
          <w:szCs w:val="24"/>
          <w:lang w:val="uk-UA"/>
        </w:rPr>
        <w:t>6.2 Термін придатності</w:t>
      </w:r>
    </w:p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szCs w:val="24"/>
          <w:lang w:val="uk-UA"/>
        </w:rPr>
      </w:pPr>
      <w:r w:rsidRPr="00196D4E">
        <w:rPr>
          <w:rFonts w:ascii="Times New Roman" w:hAnsi="Times New Roman"/>
          <w:szCs w:val="24"/>
          <w:lang w:val="uk-UA"/>
        </w:rPr>
        <w:t xml:space="preserve">3 роки. </w:t>
      </w:r>
    </w:p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20" w:name="_Hlk163201227"/>
      <w:proofErr w:type="spellStart"/>
      <w:proofErr w:type="gramStart"/>
      <w:r w:rsidRPr="00196D4E">
        <w:rPr>
          <w:rFonts w:ascii="Times New Roman" w:hAnsi="Times New Roman"/>
          <w:szCs w:val="24"/>
          <w:lang w:val="ru-RU"/>
        </w:rPr>
        <w:t>П</w:t>
      </w:r>
      <w:proofErr w:type="gramEnd"/>
      <w:r w:rsidRPr="00196D4E">
        <w:rPr>
          <w:rFonts w:ascii="Times New Roman" w:hAnsi="Times New Roman"/>
          <w:szCs w:val="24"/>
          <w:lang w:val="ru-RU"/>
        </w:rPr>
        <w:t>ісля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першого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відбору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з флакону препарат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необхідно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використати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протягом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14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діб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 w:rsidRPr="00196D4E">
        <w:rPr>
          <w:rFonts w:ascii="Times New Roman" w:hAnsi="Times New Roman"/>
          <w:szCs w:val="24"/>
          <w:lang w:val="ru-RU"/>
        </w:rPr>
        <w:t>умови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зберігання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в холодильнику (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від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2 до 8</w:t>
      </w:r>
      <w:r w:rsidRPr="00196D4E">
        <w:rPr>
          <w:rFonts w:ascii="Times New Roman" w:hAnsi="Times New Roman"/>
          <w:szCs w:val="24"/>
          <w:lang w:val="uk-UA"/>
        </w:rPr>
        <w:t xml:space="preserve"> </w:t>
      </w:r>
      <w:r w:rsidRPr="00196D4E">
        <w:rPr>
          <w:rFonts w:ascii="Times New Roman" w:hAnsi="Times New Roman"/>
          <w:szCs w:val="24"/>
          <w:lang w:val="ru-RU"/>
        </w:rPr>
        <w:t>°С).</w:t>
      </w:r>
    </w:p>
    <w:bookmarkEnd w:id="20"/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b/>
          <w:snapToGrid w:val="0"/>
          <w:szCs w:val="24"/>
          <w:lang w:val="uk-UA"/>
        </w:rPr>
      </w:pPr>
      <w:r w:rsidRPr="00196D4E">
        <w:rPr>
          <w:rFonts w:ascii="Times New Roman" w:hAnsi="Times New Roman"/>
          <w:b/>
          <w:snapToGrid w:val="0"/>
          <w:szCs w:val="24"/>
          <w:lang w:val="ru-RU"/>
        </w:rPr>
        <w:t>6.3</w:t>
      </w:r>
      <w:r w:rsidRPr="00196D4E">
        <w:rPr>
          <w:rFonts w:ascii="Times New Roman" w:hAnsi="Times New Roman"/>
          <w:b/>
          <w:snapToGrid w:val="0"/>
          <w:szCs w:val="24"/>
          <w:lang w:val="uk-UA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szCs w:val="24"/>
          <w:lang w:val="ru-RU"/>
        </w:rPr>
        <w:t>Особливі</w:t>
      </w:r>
      <w:proofErr w:type="spellEnd"/>
      <w:r w:rsidRPr="00196D4E">
        <w:rPr>
          <w:rFonts w:ascii="Times New Roman" w:hAnsi="Times New Roman"/>
          <w:b/>
          <w:snapToGrid w:val="0"/>
          <w:szCs w:val="24"/>
          <w:lang w:val="ru-RU"/>
        </w:rPr>
        <w:t xml:space="preserve"> за</w:t>
      </w:r>
      <w:r w:rsidRPr="00196D4E">
        <w:rPr>
          <w:rFonts w:ascii="Times New Roman" w:hAnsi="Times New Roman"/>
          <w:b/>
          <w:snapToGrid w:val="0"/>
          <w:szCs w:val="24"/>
          <w:lang w:val="uk-UA"/>
        </w:rPr>
        <w:t>ходи</w:t>
      </w:r>
      <w:r w:rsidRPr="00196D4E">
        <w:rPr>
          <w:rFonts w:ascii="Times New Roman" w:hAnsi="Times New Roman"/>
          <w:b/>
          <w:snapToGrid w:val="0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szCs w:val="24"/>
          <w:lang w:val="ru-RU"/>
        </w:rPr>
        <w:t>зберігання</w:t>
      </w:r>
      <w:proofErr w:type="spellEnd"/>
    </w:p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szCs w:val="24"/>
          <w:lang w:val="uk-UA"/>
        </w:rPr>
      </w:pPr>
      <w:bookmarkStart w:id="21" w:name="_Hlk163201142"/>
      <w:proofErr w:type="spellStart"/>
      <w:r w:rsidRPr="00196D4E">
        <w:rPr>
          <w:rFonts w:ascii="Times New Roman" w:hAnsi="Times New Roman"/>
          <w:szCs w:val="24"/>
          <w:lang w:val="ru-RU"/>
        </w:rPr>
        <w:t>Темне</w:t>
      </w:r>
      <w:proofErr w:type="spellEnd"/>
      <w:r w:rsidRPr="00196D4E">
        <w:rPr>
          <w:rFonts w:ascii="Times New Roman" w:hAnsi="Times New Roman"/>
          <w:szCs w:val="24"/>
          <w:lang w:val="uk-UA"/>
        </w:rPr>
        <w:t>, недоступне для дітей</w:t>
      </w:r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місце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, </w:t>
      </w:r>
      <w:proofErr w:type="gramStart"/>
      <w:r w:rsidRPr="00196D4E">
        <w:rPr>
          <w:rFonts w:ascii="Times New Roman" w:hAnsi="Times New Roman"/>
          <w:szCs w:val="24"/>
          <w:lang w:val="ru-RU"/>
        </w:rPr>
        <w:t>при</w:t>
      </w:r>
      <w:proofErr w:type="gram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температурі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szCs w:val="24"/>
          <w:lang w:val="ru-RU"/>
        </w:rPr>
        <w:t>від</w:t>
      </w:r>
      <w:proofErr w:type="spellEnd"/>
      <w:r w:rsidRPr="00196D4E">
        <w:rPr>
          <w:rFonts w:ascii="Times New Roman" w:hAnsi="Times New Roman"/>
          <w:szCs w:val="24"/>
          <w:lang w:val="ru-RU"/>
        </w:rPr>
        <w:t xml:space="preserve"> 15 до 25</w:t>
      </w:r>
      <w:r w:rsidRPr="00196D4E">
        <w:rPr>
          <w:rFonts w:ascii="Times New Roman" w:hAnsi="Times New Roman"/>
          <w:szCs w:val="24"/>
          <w:lang w:val="uk-UA"/>
        </w:rPr>
        <w:t xml:space="preserve"> </w:t>
      </w:r>
      <w:r w:rsidRPr="00196D4E">
        <w:rPr>
          <w:rFonts w:ascii="Times New Roman" w:hAnsi="Times New Roman"/>
          <w:szCs w:val="24"/>
          <w:lang w:val="ru-RU"/>
        </w:rPr>
        <w:t xml:space="preserve">°С. </w:t>
      </w:r>
    </w:p>
    <w:bookmarkEnd w:id="21"/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b/>
          <w:snapToGrid w:val="0"/>
          <w:szCs w:val="24"/>
          <w:lang w:val="ru-RU"/>
        </w:rPr>
      </w:pPr>
      <w:r w:rsidRPr="00196D4E">
        <w:rPr>
          <w:rFonts w:ascii="Times New Roman" w:hAnsi="Times New Roman"/>
          <w:b/>
          <w:snapToGrid w:val="0"/>
          <w:szCs w:val="24"/>
          <w:lang w:val="ru-RU"/>
        </w:rPr>
        <w:t xml:space="preserve">6.4 Природа і склад контейнера </w:t>
      </w:r>
      <w:proofErr w:type="spellStart"/>
      <w:r w:rsidRPr="00196D4E">
        <w:rPr>
          <w:rFonts w:ascii="Times New Roman" w:hAnsi="Times New Roman"/>
          <w:b/>
          <w:snapToGrid w:val="0"/>
          <w:szCs w:val="24"/>
          <w:lang w:val="ru-RU"/>
        </w:rPr>
        <w:t>первинного</w:t>
      </w:r>
      <w:proofErr w:type="spellEnd"/>
      <w:r w:rsidRPr="00196D4E">
        <w:rPr>
          <w:rFonts w:ascii="Times New Roman" w:hAnsi="Times New Roman"/>
          <w:b/>
          <w:snapToGrid w:val="0"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snapToGrid w:val="0"/>
          <w:szCs w:val="24"/>
          <w:lang w:val="ru-RU"/>
        </w:rPr>
        <w:t>пакування</w:t>
      </w:r>
      <w:proofErr w:type="spellEnd"/>
    </w:p>
    <w:p w:rsidR="00792D08" w:rsidRPr="00196D4E" w:rsidRDefault="00792D08" w:rsidP="008F0305">
      <w:pPr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22" w:name="_Hlk161153541"/>
      <w:bookmarkStart w:id="23" w:name="_Hlk161847950"/>
      <w:bookmarkStart w:id="24" w:name="_Hlk163207681"/>
      <w:r w:rsidRPr="00196D4E">
        <w:rPr>
          <w:rFonts w:ascii="Times New Roman" w:hAnsi="Times New Roman"/>
          <w:szCs w:val="24"/>
          <w:lang w:val="uk-UA"/>
        </w:rPr>
        <w:t xml:space="preserve">Флакони з темного скла II типу по 50 або 100 </w:t>
      </w:r>
      <w:proofErr w:type="spellStart"/>
      <w:r w:rsidRPr="00196D4E">
        <w:rPr>
          <w:rFonts w:ascii="Times New Roman" w:hAnsi="Times New Roman"/>
          <w:szCs w:val="24"/>
          <w:lang w:val="uk-UA"/>
        </w:rPr>
        <w:t>мл</w:t>
      </w:r>
      <w:proofErr w:type="spellEnd"/>
      <w:r w:rsidRPr="00196D4E">
        <w:rPr>
          <w:rFonts w:ascii="Times New Roman" w:hAnsi="Times New Roman"/>
          <w:szCs w:val="24"/>
          <w:lang w:val="uk-UA"/>
        </w:rPr>
        <w:t xml:space="preserve">, закупорені корком з </w:t>
      </w:r>
      <w:proofErr w:type="spellStart"/>
      <w:r w:rsidRPr="00196D4E">
        <w:rPr>
          <w:rFonts w:ascii="Times New Roman" w:hAnsi="Times New Roman"/>
          <w:szCs w:val="24"/>
          <w:lang w:val="uk-UA"/>
        </w:rPr>
        <w:t>бромбутилової</w:t>
      </w:r>
      <w:proofErr w:type="spellEnd"/>
      <w:r w:rsidRPr="00196D4E">
        <w:rPr>
          <w:rFonts w:ascii="Times New Roman" w:hAnsi="Times New Roman"/>
          <w:szCs w:val="24"/>
          <w:lang w:val="uk-UA"/>
        </w:rPr>
        <w:t xml:space="preserve"> гуми </w:t>
      </w:r>
      <w:bookmarkEnd w:id="22"/>
      <w:bookmarkEnd w:id="23"/>
      <w:r w:rsidRPr="00196D4E">
        <w:rPr>
          <w:rFonts w:ascii="Times New Roman" w:hAnsi="Times New Roman"/>
          <w:szCs w:val="24"/>
          <w:lang w:val="uk-UA"/>
        </w:rPr>
        <w:t>під алюмінієву обкатку.</w:t>
      </w:r>
    </w:p>
    <w:bookmarkEnd w:id="24"/>
    <w:p w:rsidR="00792D08" w:rsidRPr="00196D4E" w:rsidRDefault="00792D08" w:rsidP="008F0305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196D4E">
        <w:rPr>
          <w:rFonts w:ascii="Times New Roman" w:hAnsi="Times New Roman"/>
          <w:b/>
          <w:bCs/>
          <w:szCs w:val="24"/>
          <w:lang w:val="ru-RU"/>
        </w:rPr>
        <w:t xml:space="preserve">6.5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Особливі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 xml:space="preserve"> заходи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безпеки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 xml:space="preserve"> при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поводженні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 xml:space="preserve"> з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невикористаним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 xml:space="preserve"> препаратом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або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із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його</w:t>
      </w:r>
      <w:proofErr w:type="spellEnd"/>
      <w:r w:rsidRPr="00196D4E">
        <w:rPr>
          <w:rFonts w:ascii="Times New Roman" w:hAnsi="Times New Roman"/>
          <w:b/>
          <w:bCs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/>
          <w:bCs/>
          <w:szCs w:val="24"/>
          <w:lang w:val="ru-RU"/>
        </w:rPr>
        <w:t>залишками</w:t>
      </w:r>
      <w:proofErr w:type="spellEnd"/>
      <w:r w:rsidRPr="00196D4E">
        <w:rPr>
          <w:rFonts w:ascii="Times New Roman" w:hAnsi="Times New Roman"/>
          <w:b/>
          <w:bCs/>
          <w:szCs w:val="24"/>
          <w:lang w:val="uk-UA"/>
        </w:rPr>
        <w:t>.</w:t>
      </w:r>
      <w:r w:rsidRPr="00196D4E">
        <w:rPr>
          <w:rFonts w:ascii="Times New Roman" w:hAnsi="Times New Roman"/>
          <w:szCs w:val="24"/>
          <w:lang w:val="ru-RU"/>
        </w:rPr>
        <w:t xml:space="preserve"> </w:t>
      </w:r>
    </w:p>
    <w:p w:rsidR="00792D08" w:rsidRPr="00196D4E" w:rsidRDefault="00792D08" w:rsidP="008F0305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  <w:proofErr w:type="spellStart"/>
      <w:r w:rsidRPr="00196D4E">
        <w:rPr>
          <w:rFonts w:ascii="Times New Roman" w:hAnsi="Times New Roman"/>
          <w:bCs/>
          <w:szCs w:val="24"/>
          <w:lang w:val="ru-RU"/>
        </w:rPr>
        <w:t>Невикористаний</w:t>
      </w:r>
      <w:proofErr w:type="spellEnd"/>
      <w:r w:rsidRPr="00196D4E">
        <w:rPr>
          <w:rFonts w:ascii="Times New Roman" w:hAnsi="Times New Roman"/>
          <w:bCs/>
          <w:szCs w:val="24"/>
          <w:lang w:val="ru-RU"/>
        </w:rPr>
        <w:t xml:space="preserve"> препарат </w:t>
      </w:r>
      <w:proofErr w:type="spellStart"/>
      <w:r w:rsidRPr="00196D4E">
        <w:rPr>
          <w:rFonts w:ascii="Times New Roman" w:hAnsi="Times New Roman"/>
          <w:bCs/>
          <w:szCs w:val="24"/>
          <w:lang w:val="ru-RU"/>
        </w:rPr>
        <w:t>або</w:t>
      </w:r>
      <w:proofErr w:type="spellEnd"/>
      <w:r w:rsidRPr="00196D4E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Cs/>
          <w:szCs w:val="24"/>
          <w:lang w:val="ru-RU"/>
        </w:rPr>
        <w:t>його</w:t>
      </w:r>
      <w:proofErr w:type="spellEnd"/>
      <w:r w:rsidRPr="00196D4E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Cs/>
          <w:szCs w:val="24"/>
          <w:lang w:val="ru-RU"/>
        </w:rPr>
        <w:t>залишки</w:t>
      </w:r>
      <w:proofErr w:type="spellEnd"/>
      <w:r w:rsidRPr="00196D4E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Cs/>
          <w:szCs w:val="24"/>
          <w:lang w:val="ru-RU"/>
        </w:rPr>
        <w:t>утилізують</w:t>
      </w:r>
      <w:proofErr w:type="spellEnd"/>
      <w:r w:rsidRPr="00196D4E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Cs/>
          <w:szCs w:val="24"/>
          <w:lang w:val="ru-RU"/>
        </w:rPr>
        <w:t>згідно</w:t>
      </w:r>
      <w:proofErr w:type="spellEnd"/>
      <w:r w:rsidRPr="00196D4E">
        <w:rPr>
          <w:rFonts w:ascii="Times New Roman" w:hAnsi="Times New Roman"/>
          <w:bCs/>
          <w:szCs w:val="24"/>
          <w:lang w:val="ru-RU"/>
        </w:rPr>
        <w:t xml:space="preserve"> з </w:t>
      </w:r>
      <w:proofErr w:type="spellStart"/>
      <w:r w:rsidRPr="00196D4E">
        <w:rPr>
          <w:rFonts w:ascii="Times New Roman" w:hAnsi="Times New Roman"/>
          <w:bCs/>
          <w:szCs w:val="24"/>
          <w:lang w:val="ru-RU"/>
        </w:rPr>
        <w:t>чинними</w:t>
      </w:r>
      <w:proofErr w:type="spellEnd"/>
      <w:r w:rsidRPr="00196D4E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196D4E">
        <w:rPr>
          <w:rFonts w:ascii="Times New Roman" w:hAnsi="Times New Roman"/>
          <w:bCs/>
          <w:szCs w:val="24"/>
          <w:lang w:val="ru-RU"/>
        </w:rPr>
        <w:t>вимогами</w:t>
      </w:r>
      <w:proofErr w:type="spellEnd"/>
    </w:p>
    <w:p w:rsidR="00792D08" w:rsidRPr="00196D4E" w:rsidRDefault="00792D08" w:rsidP="008F0305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792D08" w:rsidRPr="00196D4E" w:rsidRDefault="00792D08" w:rsidP="008F0305">
      <w:pPr>
        <w:ind w:firstLine="567"/>
        <w:jc w:val="both"/>
        <w:rPr>
          <w:rFonts w:ascii="Times New Roman" w:hAnsi="Times New Roman"/>
          <w:b/>
          <w:szCs w:val="24"/>
          <w:lang w:val="uk-UA"/>
        </w:rPr>
      </w:pPr>
      <w:r w:rsidRPr="00196D4E">
        <w:rPr>
          <w:rFonts w:ascii="Times New Roman" w:hAnsi="Times New Roman"/>
          <w:b/>
          <w:szCs w:val="24"/>
          <w:lang w:val="uk-UA"/>
        </w:rPr>
        <w:lastRenderedPageBreak/>
        <w:t>7. Назва та місцезнаходження власника реєстраційного посвідчення</w:t>
      </w:r>
    </w:p>
    <w:p w:rsidR="00792D08" w:rsidRPr="00196D4E" w:rsidRDefault="00792D08" w:rsidP="008F0305">
      <w:pPr>
        <w:ind w:firstLine="567"/>
        <w:jc w:val="both"/>
        <w:rPr>
          <w:rFonts w:ascii="Times New Roman" w:hAnsi="Times New Roman"/>
          <w:b/>
          <w:szCs w:val="24"/>
          <w:lang w:val="uk-UA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138"/>
        <w:gridCol w:w="4123"/>
      </w:tblGrid>
      <w:tr w:rsidR="00196D4E" w:rsidRPr="00196D4E" w:rsidTr="00C345A3">
        <w:tc>
          <w:tcPr>
            <w:tcW w:w="4138" w:type="dxa"/>
          </w:tcPr>
          <w:p w:rsidR="00792D08" w:rsidRPr="00196D4E" w:rsidRDefault="00792D08" w:rsidP="00C345A3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Інтерхемі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веркен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 xml:space="preserve"> “Де </w:t>
            </w: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Аделаар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>” Б.В.</w:t>
            </w:r>
          </w:p>
          <w:p w:rsidR="00792D08" w:rsidRPr="00196D4E" w:rsidRDefault="00792D08" w:rsidP="00C345A3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Металвеег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 xml:space="preserve"> 8, 5804 </w:t>
            </w:r>
            <w:r w:rsidRPr="00196D4E">
              <w:rPr>
                <w:rFonts w:ascii="Times New Roman" w:hAnsi="Times New Roman"/>
                <w:szCs w:val="24"/>
              </w:rPr>
              <w:t>CG,</w:t>
            </w:r>
            <w:r w:rsidRPr="00196D4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Венрай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>,</w:t>
            </w:r>
          </w:p>
          <w:p w:rsidR="00792D08" w:rsidRPr="00196D4E" w:rsidRDefault="00792D08" w:rsidP="00C345A3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196D4E">
              <w:rPr>
                <w:rFonts w:ascii="Times New Roman" w:hAnsi="Times New Roman"/>
                <w:bCs/>
                <w:szCs w:val="24"/>
                <w:lang w:val="uk-UA"/>
              </w:rPr>
              <w:t>Нідерланди</w:t>
            </w:r>
          </w:p>
        </w:tc>
        <w:tc>
          <w:tcPr>
            <w:tcW w:w="4123" w:type="dxa"/>
          </w:tcPr>
          <w:p w:rsidR="00792D08" w:rsidRPr="00196D4E" w:rsidRDefault="00792D08" w:rsidP="00C345A3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196D4E">
              <w:rPr>
                <w:rFonts w:ascii="Times New Roman" w:hAnsi="Times New Roman"/>
                <w:szCs w:val="24"/>
                <w:lang w:val="nl-NL"/>
              </w:rPr>
              <w:t>Interchemie werken “De Adelaar” B.V.</w:t>
            </w:r>
          </w:p>
          <w:p w:rsidR="00792D08" w:rsidRPr="00196D4E" w:rsidRDefault="00792D08" w:rsidP="00C345A3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196D4E">
              <w:rPr>
                <w:rFonts w:ascii="Times New Roman" w:hAnsi="Times New Roman"/>
                <w:szCs w:val="24"/>
                <w:lang w:val="en-US"/>
              </w:rPr>
              <w:t>Metaalweg</w:t>
            </w:r>
            <w:proofErr w:type="spellEnd"/>
            <w:r w:rsidRPr="00196D4E">
              <w:rPr>
                <w:rFonts w:ascii="Times New Roman" w:hAnsi="Times New Roman"/>
                <w:szCs w:val="24"/>
                <w:lang w:val="en-US"/>
              </w:rPr>
              <w:t xml:space="preserve"> 8, 5804 CG </w:t>
            </w:r>
            <w:proofErr w:type="spellStart"/>
            <w:r w:rsidRPr="00196D4E">
              <w:rPr>
                <w:rFonts w:ascii="Times New Roman" w:hAnsi="Times New Roman"/>
                <w:szCs w:val="24"/>
                <w:lang w:val="en-US"/>
              </w:rPr>
              <w:t>Venray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>,</w:t>
            </w:r>
          </w:p>
          <w:p w:rsidR="00792D08" w:rsidRPr="00196D4E" w:rsidRDefault="00792D08" w:rsidP="00C345A3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196D4E">
              <w:rPr>
                <w:rFonts w:ascii="Times New Roman" w:hAnsi="Times New Roman"/>
                <w:szCs w:val="24"/>
                <w:lang w:val="en-US"/>
              </w:rPr>
              <w:t>The Netherlands</w:t>
            </w:r>
          </w:p>
          <w:p w:rsidR="00792D08" w:rsidRPr="00196D4E" w:rsidRDefault="00792D08" w:rsidP="00C345A3">
            <w:pPr>
              <w:ind w:firstLine="567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792D08" w:rsidRPr="00196D4E" w:rsidRDefault="00792D08" w:rsidP="008F0305">
      <w:pPr>
        <w:ind w:firstLine="567"/>
        <w:jc w:val="both"/>
        <w:rPr>
          <w:rFonts w:ascii="Times New Roman" w:hAnsi="Times New Roman"/>
          <w:b/>
          <w:szCs w:val="24"/>
          <w:lang w:val="uk-UA"/>
        </w:rPr>
      </w:pPr>
      <w:r w:rsidRPr="00196D4E">
        <w:rPr>
          <w:rFonts w:ascii="Times New Roman" w:hAnsi="Times New Roman"/>
          <w:b/>
          <w:szCs w:val="24"/>
          <w:lang w:val="uk-UA"/>
        </w:rPr>
        <w:t>8. Назва та місцезнаходження виробника (виробників)</w:t>
      </w:r>
    </w:p>
    <w:p w:rsidR="00792D08" w:rsidRPr="00196D4E" w:rsidRDefault="00792D08" w:rsidP="008F0305">
      <w:pPr>
        <w:ind w:firstLine="567"/>
        <w:jc w:val="both"/>
        <w:rPr>
          <w:rFonts w:ascii="Times New Roman" w:hAnsi="Times New Roman"/>
          <w:b/>
          <w:szCs w:val="24"/>
          <w:lang w:val="et-EE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138"/>
        <w:gridCol w:w="4123"/>
      </w:tblGrid>
      <w:tr w:rsidR="00196D4E" w:rsidRPr="00196D4E" w:rsidTr="00C345A3">
        <w:tc>
          <w:tcPr>
            <w:tcW w:w="4138" w:type="dxa"/>
          </w:tcPr>
          <w:p w:rsidR="00792D08" w:rsidRPr="00196D4E" w:rsidRDefault="00792D08" w:rsidP="00C345A3">
            <w:pPr>
              <w:rPr>
                <w:rFonts w:ascii="Times New Roman" w:hAnsi="Times New Roman"/>
                <w:szCs w:val="24"/>
                <w:lang w:val="uk-UA"/>
              </w:rPr>
            </w:pPr>
            <w:r w:rsidRPr="00196D4E">
              <w:rPr>
                <w:rFonts w:ascii="Times New Roman" w:hAnsi="Times New Roman"/>
                <w:szCs w:val="24"/>
                <w:lang w:val="et-EE"/>
              </w:rPr>
              <w:t xml:space="preserve">Інтерхемі веркен “Де Аделаар” Есті АС, Ванапере тее 14, Прінгі, Віімсі валд, Харьюмаа </w:t>
            </w:r>
            <w:r w:rsidRPr="00196D4E">
              <w:rPr>
                <w:rFonts w:ascii="Times New Roman" w:hAnsi="Times New Roman"/>
                <w:szCs w:val="24"/>
                <w:lang w:val="uk-UA"/>
              </w:rPr>
              <w:t>74013</w:t>
            </w:r>
            <w:r w:rsidRPr="00196D4E">
              <w:rPr>
                <w:rFonts w:ascii="Times New Roman" w:hAnsi="Times New Roman"/>
                <w:szCs w:val="24"/>
                <w:lang w:val="et-EE"/>
              </w:rPr>
              <w:t>, Естонія</w:t>
            </w:r>
          </w:p>
        </w:tc>
        <w:tc>
          <w:tcPr>
            <w:tcW w:w="4123" w:type="dxa"/>
          </w:tcPr>
          <w:p w:rsidR="00792D08" w:rsidRPr="00196D4E" w:rsidRDefault="00792D08" w:rsidP="00C345A3">
            <w:pPr>
              <w:jc w:val="both"/>
              <w:rPr>
                <w:rFonts w:ascii="Times New Roman" w:hAnsi="Times New Roman"/>
                <w:spacing w:val="-3"/>
                <w:szCs w:val="24"/>
                <w:lang w:val="uk-UA"/>
              </w:rPr>
            </w:pP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Interchemie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werken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 xml:space="preserve"> "</w:t>
            </w: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De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Adelaar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 xml:space="preserve">" </w:t>
            </w:r>
            <w:proofErr w:type="spellStart"/>
            <w:r w:rsidRPr="00196D4E">
              <w:rPr>
                <w:rFonts w:ascii="Times New Roman" w:hAnsi="Times New Roman"/>
                <w:szCs w:val="24"/>
                <w:lang w:val="uk-UA"/>
              </w:rPr>
              <w:t>Eesti</w:t>
            </w:r>
            <w:proofErr w:type="spellEnd"/>
            <w:r w:rsidRPr="00196D4E">
              <w:rPr>
                <w:rFonts w:ascii="Times New Roman" w:hAnsi="Times New Roman"/>
                <w:szCs w:val="24"/>
                <w:lang w:val="uk-UA"/>
              </w:rPr>
              <w:t xml:space="preserve"> AS</w:t>
            </w:r>
            <w:r w:rsidRPr="00196D4E">
              <w:rPr>
                <w:rFonts w:ascii="Times New Roman" w:hAnsi="Times New Roman"/>
                <w:szCs w:val="24"/>
                <w:lang w:val="nl-NL"/>
              </w:rPr>
              <w:t xml:space="preserve">, </w:t>
            </w:r>
            <w:r w:rsidRPr="00196D4E">
              <w:rPr>
                <w:rFonts w:ascii="Times New Roman" w:hAnsi="Times New Roman"/>
                <w:spacing w:val="-3"/>
                <w:szCs w:val="24"/>
                <w:lang w:val="nl-NL"/>
              </w:rPr>
              <w:t xml:space="preserve">Vanapere tee 14, Pringi, Viimsi vald, Harjumaa </w:t>
            </w:r>
            <w:r w:rsidRPr="00196D4E">
              <w:rPr>
                <w:rFonts w:ascii="Times New Roman" w:hAnsi="Times New Roman"/>
                <w:szCs w:val="24"/>
                <w:lang w:val="uk-UA"/>
              </w:rPr>
              <w:t>74013</w:t>
            </w:r>
            <w:r w:rsidRPr="00196D4E">
              <w:rPr>
                <w:rFonts w:ascii="Times New Roman" w:hAnsi="Times New Roman"/>
                <w:spacing w:val="-3"/>
                <w:szCs w:val="24"/>
                <w:lang w:val="nl-NL"/>
              </w:rPr>
              <w:t>,</w:t>
            </w:r>
            <w:r w:rsidRPr="00196D4E">
              <w:rPr>
                <w:rFonts w:ascii="Times New Roman" w:hAnsi="Times New Roman"/>
                <w:spacing w:val="-3"/>
                <w:szCs w:val="24"/>
                <w:lang w:val="uk-UA"/>
              </w:rPr>
              <w:t xml:space="preserve"> </w:t>
            </w:r>
            <w:r w:rsidRPr="00196D4E">
              <w:rPr>
                <w:rFonts w:ascii="Times New Roman" w:hAnsi="Times New Roman"/>
                <w:spacing w:val="-3"/>
                <w:szCs w:val="24"/>
                <w:lang w:val="nl-NL"/>
              </w:rPr>
              <w:t>Estonia</w:t>
            </w:r>
          </w:p>
          <w:p w:rsidR="00792D08" w:rsidRPr="00196D4E" w:rsidRDefault="00792D08" w:rsidP="00C345A3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792D08" w:rsidRPr="00196D4E" w:rsidRDefault="00792D08" w:rsidP="008F0305">
      <w:pPr>
        <w:ind w:firstLine="567"/>
        <w:rPr>
          <w:rFonts w:ascii="Times New Roman" w:hAnsi="Times New Roman"/>
          <w:szCs w:val="24"/>
          <w:lang w:val="en-US"/>
        </w:rPr>
      </w:pPr>
      <w:r w:rsidRPr="00196D4E">
        <w:rPr>
          <w:rFonts w:ascii="Times New Roman" w:hAnsi="Times New Roman"/>
          <w:b/>
          <w:szCs w:val="24"/>
          <w:lang w:val="uk-UA"/>
        </w:rPr>
        <w:t>9. Додаткова інформація</w:t>
      </w:r>
    </w:p>
    <w:p w:rsidR="00792D08" w:rsidRPr="00196D4E" w:rsidRDefault="00792D08" w:rsidP="008F0305">
      <w:pPr>
        <w:widowControl w:val="0"/>
        <w:ind w:left="480"/>
        <w:jc w:val="both"/>
        <w:rPr>
          <w:rFonts w:ascii="Times New Roman" w:hAnsi="Times New Roman"/>
          <w:szCs w:val="24"/>
          <w:lang w:val="uk-UA"/>
        </w:rPr>
      </w:pPr>
    </w:p>
    <w:p w:rsidR="00792D08" w:rsidRPr="00196D4E" w:rsidRDefault="00792D08" w:rsidP="008F0305">
      <w:pPr>
        <w:jc w:val="center"/>
        <w:rPr>
          <w:rFonts w:ascii="Times New Roman" w:hAnsi="Times New Roman"/>
          <w:b/>
          <w:szCs w:val="24"/>
        </w:rPr>
      </w:pPr>
    </w:p>
    <w:p w:rsidR="00792D08" w:rsidRPr="00196D4E" w:rsidRDefault="00792D08" w:rsidP="008F0305">
      <w:pPr>
        <w:jc w:val="center"/>
        <w:rPr>
          <w:rFonts w:ascii="Times New Roman" w:hAnsi="Times New Roman"/>
          <w:b/>
          <w:szCs w:val="24"/>
        </w:rPr>
      </w:pPr>
    </w:p>
    <w:p w:rsidR="00792D08" w:rsidRPr="00196D4E" w:rsidRDefault="00792D08" w:rsidP="008F0305">
      <w:pPr>
        <w:jc w:val="center"/>
        <w:rPr>
          <w:rFonts w:ascii="Times New Roman" w:hAnsi="Times New Roman"/>
          <w:b/>
          <w:szCs w:val="24"/>
        </w:rPr>
      </w:pPr>
    </w:p>
    <w:p w:rsidR="00792D08" w:rsidRPr="00196D4E" w:rsidRDefault="00792D08" w:rsidP="008F0305">
      <w:pPr>
        <w:rPr>
          <w:rFonts w:ascii="Times New Roman" w:hAnsi="Times New Roman"/>
          <w:b/>
          <w:szCs w:val="24"/>
          <w:lang w:val="uk-UA"/>
        </w:rPr>
      </w:pPr>
    </w:p>
    <w:p w:rsidR="00792D08" w:rsidRPr="00196D4E" w:rsidRDefault="00792D08">
      <w:pPr>
        <w:rPr>
          <w:rFonts w:ascii="Times New Roman" w:hAnsi="Times New Roman"/>
          <w:szCs w:val="24"/>
        </w:rPr>
      </w:pPr>
    </w:p>
    <w:sectPr w:rsidR="00792D08" w:rsidRPr="00196D4E" w:rsidSect="00705C7B">
      <w:pgSz w:w="12240" w:h="15840"/>
      <w:pgMar w:top="851" w:right="454" w:bottom="454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602"/>
    <w:multiLevelType w:val="multilevel"/>
    <w:tmpl w:val="37BECA0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3A7B4D93"/>
    <w:multiLevelType w:val="hybridMultilevel"/>
    <w:tmpl w:val="6D360826"/>
    <w:lvl w:ilvl="0" w:tplc="E87C96F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54A681D"/>
    <w:multiLevelType w:val="hybridMultilevel"/>
    <w:tmpl w:val="F6C8EE1E"/>
    <w:lvl w:ilvl="0" w:tplc="14E4C354">
      <w:start w:val="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43891"/>
    <w:multiLevelType w:val="multilevel"/>
    <w:tmpl w:val="B3E2694A"/>
    <w:lvl w:ilvl="0">
      <w:start w:val="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A0"/>
    <w:rsid w:val="00144B7D"/>
    <w:rsid w:val="00196D4E"/>
    <w:rsid w:val="002D7186"/>
    <w:rsid w:val="002F25E7"/>
    <w:rsid w:val="0037550F"/>
    <w:rsid w:val="003F75CF"/>
    <w:rsid w:val="005B33D0"/>
    <w:rsid w:val="005E2DAD"/>
    <w:rsid w:val="006501EC"/>
    <w:rsid w:val="00672FA6"/>
    <w:rsid w:val="00703BDF"/>
    <w:rsid w:val="00705C7B"/>
    <w:rsid w:val="007619DE"/>
    <w:rsid w:val="00792D08"/>
    <w:rsid w:val="007E33F3"/>
    <w:rsid w:val="007F43A0"/>
    <w:rsid w:val="008245CA"/>
    <w:rsid w:val="008563E7"/>
    <w:rsid w:val="00860010"/>
    <w:rsid w:val="00877699"/>
    <w:rsid w:val="00884B96"/>
    <w:rsid w:val="008D023D"/>
    <w:rsid w:val="008F0305"/>
    <w:rsid w:val="009665A3"/>
    <w:rsid w:val="009F5547"/>
    <w:rsid w:val="00A51BD6"/>
    <w:rsid w:val="00A83138"/>
    <w:rsid w:val="00B94853"/>
    <w:rsid w:val="00C345A3"/>
    <w:rsid w:val="00CE7E9F"/>
    <w:rsid w:val="00CF5FB0"/>
    <w:rsid w:val="00D245E6"/>
    <w:rsid w:val="00D909A4"/>
    <w:rsid w:val="00DA10B7"/>
    <w:rsid w:val="00FB34F8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  <w:szCs w:val="20"/>
      <w:lang w:val="en-GB" w:eastAsia="nl-NL"/>
    </w:rPr>
  </w:style>
  <w:style w:type="paragraph" w:styleId="2">
    <w:name w:val="heading 2"/>
    <w:basedOn w:val="a"/>
    <w:next w:val="a"/>
    <w:link w:val="20"/>
    <w:uiPriority w:val="99"/>
    <w:qFormat/>
    <w:rsid w:val="008F0305"/>
    <w:pPr>
      <w:keepNext/>
      <w:overflowPunct/>
      <w:autoSpaceDE/>
      <w:autoSpaceDN/>
      <w:adjustRightInd/>
      <w:textAlignment w:val="auto"/>
      <w:outlineLvl w:val="1"/>
    </w:pPr>
    <w:rPr>
      <w:rFonts w:ascii="Journal" w:hAnsi="Journ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F0305"/>
    <w:rPr>
      <w:rFonts w:ascii="Journal" w:hAnsi="Journal"/>
      <w:kern w:val="0"/>
      <w:sz w:val="20"/>
      <w:lang w:val="ru-RU" w:eastAsia="ru-RU"/>
    </w:rPr>
  </w:style>
  <w:style w:type="paragraph" w:styleId="a3">
    <w:name w:val="Body Text"/>
    <w:basedOn w:val="a"/>
    <w:link w:val="a4"/>
    <w:rsid w:val="008F030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val="et-EE" w:eastAsia="en-US"/>
    </w:rPr>
  </w:style>
  <w:style w:type="character" w:customStyle="1" w:styleId="a4">
    <w:name w:val="Основной текст Знак"/>
    <w:basedOn w:val="a0"/>
    <w:link w:val="a3"/>
    <w:locked/>
    <w:rsid w:val="008F0305"/>
    <w:rPr>
      <w:rFonts w:ascii="Calibri" w:eastAsia="Times New Roman" w:hAnsi="Calibri"/>
      <w:kern w:val="0"/>
      <w:lang w:val="et-EE" w:eastAsia="x-none"/>
    </w:rPr>
  </w:style>
  <w:style w:type="character" w:styleId="a5">
    <w:name w:val="annotation reference"/>
    <w:basedOn w:val="a0"/>
    <w:uiPriority w:val="99"/>
    <w:semiHidden/>
    <w:rsid w:val="00C345A3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C345A3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345A3"/>
    <w:rPr>
      <w:rFonts w:ascii="CG Times" w:hAnsi="CG Times"/>
      <w:kern w:val="0"/>
      <w:sz w:val="20"/>
      <w:lang w:val="en-GB" w:eastAsia="nl-NL"/>
    </w:rPr>
  </w:style>
  <w:style w:type="paragraph" w:styleId="a8">
    <w:name w:val="annotation subject"/>
    <w:basedOn w:val="a6"/>
    <w:next w:val="a6"/>
    <w:link w:val="a9"/>
    <w:uiPriority w:val="99"/>
    <w:semiHidden/>
    <w:rsid w:val="00C345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345A3"/>
    <w:rPr>
      <w:rFonts w:ascii="CG Times" w:hAnsi="CG Times"/>
      <w:b/>
      <w:kern w:val="0"/>
      <w:sz w:val="20"/>
      <w:lang w:val="en-GB" w:eastAsia="nl-NL"/>
    </w:rPr>
  </w:style>
  <w:style w:type="paragraph" w:styleId="aa">
    <w:name w:val="Balloon Text"/>
    <w:basedOn w:val="a"/>
    <w:link w:val="ab"/>
    <w:uiPriority w:val="99"/>
    <w:semiHidden/>
    <w:rsid w:val="00C345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345A3"/>
    <w:rPr>
      <w:rFonts w:ascii="Tahoma" w:hAnsi="Tahoma"/>
      <w:kern w:val="0"/>
      <w:sz w:val="16"/>
      <w:lang w:val="en-GB" w:eastAsia="nl-NL"/>
    </w:rPr>
  </w:style>
  <w:style w:type="character" w:styleId="ac">
    <w:name w:val="Emphasis"/>
    <w:basedOn w:val="a0"/>
    <w:uiPriority w:val="20"/>
    <w:qFormat/>
    <w:rsid w:val="002F25E7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6895</Words>
  <Characters>3931</Characters>
  <Application>Microsoft Office Word</Application>
  <DocSecurity>0</DocSecurity>
  <Lines>32</Lines>
  <Paragraphs>21</Paragraphs>
  <ScaleCrop>false</ScaleCrop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Shostak</dc:creator>
  <cp:keywords/>
  <dc:description/>
  <cp:lastModifiedBy>Natalia_Ostapiv</cp:lastModifiedBy>
  <cp:revision>12</cp:revision>
  <dcterms:created xsi:type="dcterms:W3CDTF">2024-08-30T11:45:00Z</dcterms:created>
  <dcterms:modified xsi:type="dcterms:W3CDTF">2024-10-16T13:07:00Z</dcterms:modified>
</cp:coreProperties>
</file>