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5B51D" w14:textId="77777777" w:rsidR="007C1849" w:rsidRPr="00646646" w:rsidRDefault="007C1849" w:rsidP="007C1849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66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7D81E85B" w14:textId="77777777" w:rsidR="007C1849" w:rsidRPr="00646646" w:rsidRDefault="007C1849" w:rsidP="007C1849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6646">
        <w:rPr>
          <w:rFonts w:ascii="Times New Roman" w:hAnsi="Times New Roman" w:cs="Times New Roman"/>
          <w:sz w:val="24"/>
          <w:szCs w:val="24"/>
          <w:lang w:val="uk-UA"/>
        </w:rPr>
        <w:t xml:space="preserve"> до реєстраційного посвідчення</w:t>
      </w:r>
    </w:p>
    <w:p w14:paraId="7BBBEE8E" w14:textId="77777777" w:rsidR="007C1849" w:rsidRPr="00646646" w:rsidRDefault="007C1849" w:rsidP="007C1849">
      <w:pPr>
        <w:tabs>
          <w:tab w:val="left" w:pos="0"/>
        </w:tabs>
        <w:suppressAutoHyphens/>
        <w:jc w:val="right"/>
      </w:pPr>
    </w:p>
    <w:p w14:paraId="73BBB565" w14:textId="77777777" w:rsidR="007C1849" w:rsidRPr="00646646" w:rsidRDefault="007C1849" w:rsidP="007C1849">
      <w:pPr>
        <w:tabs>
          <w:tab w:val="left" w:pos="0"/>
        </w:tabs>
        <w:suppressAutoHyphens/>
        <w:jc w:val="right"/>
        <w:rPr>
          <w:b/>
          <w:bCs/>
          <w:lang w:eastAsia="ar-SA"/>
        </w:rPr>
      </w:pPr>
    </w:p>
    <w:p w14:paraId="032ACE9E" w14:textId="77777777" w:rsidR="007C1849" w:rsidRPr="00646646" w:rsidRDefault="007C1849" w:rsidP="007C1849">
      <w:pPr>
        <w:tabs>
          <w:tab w:val="left" w:pos="0"/>
        </w:tabs>
        <w:suppressAutoHyphens/>
        <w:jc w:val="center"/>
        <w:rPr>
          <w:b/>
          <w:bCs/>
          <w:lang w:eastAsia="ar-SA"/>
        </w:rPr>
      </w:pPr>
      <w:r w:rsidRPr="00646646">
        <w:rPr>
          <w:b/>
          <w:bCs/>
          <w:lang w:eastAsia="ar-SA"/>
        </w:rPr>
        <w:t>Коротка характеристика препарату</w:t>
      </w:r>
    </w:p>
    <w:p w14:paraId="1C453EAB" w14:textId="77777777" w:rsidR="007C1849" w:rsidRPr="00646646" w:rsidRDefault="007C1849" w:rsidP="007C1849">
      <w:pPr>
        <w:suppressAutoHyphens/>
        <w:jc w:val="both"/>
        <w:rPr>
          <w:lang w:eastAsia="ar-SA"/>
        </w:rPr>
      </w:pPr>
    </w:p>
    <w:p w14:paraId="2781F39A" w14:textId="77777777" w:rsidR="007C1849" w:rsidRPr="00646646" w:rsidRDefault="007C1849" w:rsidP="007C1849">
      <w:pPr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 xml:space="preserve">1. Назва </w:t>
      </w:r>
    </w:p>
    <w:p w14:paraId="3F6B1E62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ГАББРОВЕТ МУЛЬТИ</w:t>
      </w:r>
    </w:p>
    <w:p w14:paraId="0B795B5D" w14:textId="77777777" w:rsidR="007C1849" w:rsidRPr="00646646" w:rsidRDefault="007C1849" w:rsidP="007C1849">
      <w:pPr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 xml:space="preserve">2. Склад </w:t>
      </w:r>
    </w:p>
    <w:p w14:paraId="49B2B662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1 мл препарату містить діючу речовину:</w:t>
      </w:r>
    </w:p>
    <w:p w14:paraId="680B9EE6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паромоміцин (у формі сульфату) - 140 мг. </w:t>
      </w:r>
    </w:p>
    <w:p w14:paraId="20DBBA78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Допоміжні речовини: спирт бензиловий, натрію метабісульфіт, динатрій едетат, вода очищена. </w:t>
      </w:r>
    </w:p>
    <w:p w14:paraId="288D4A10" w14:textId="77777777" w:rsidR="007C1849" w:rsidRPr="00646646" w:rsidRDefault="007C1849" w:rsidP="007C1849">
      <w:pPr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3. Фармацевтична форма</w:t>
      </w:r>
    </w:p>
    <w:p w14:paraId="4F5F11B1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>Розчин для перорального застосування.</w:t>
      </w:r>
    </w:p>
    <w:p w14:paraId="0D3690E4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4. Фармакологічні властивості</w:t>
      </w:r>
    </w:p>
    <w:p w14:paraId="0161294A" w14:textId="77777777" w:rsidR="007C1849" w:rsidRPr="00646646" w:rsidRDefault="007C1849" w:rsidP="007C1849">
      <w:pPr>
        <w:pStyle w:val="3"/>
        <w:ind w:firstLine="567"/>
        <w:jc w:val="both"/>
        <w:rPr>
          <w:bCs/>
          <w:i/>
          <w:iCs/>
          <w:szCs w:val="24"/>
          <w:u w:val="none"/>
          <w:lang w:val="uk-UA"/>
        </w:rPr>
      </w:pPr>
      <w:r w:rsidRPr="00646646">
        <w:rPr>
          <w:bCs/>
          <w:i/>
          <w:iCs/>
          <w:szCs w:val="24"/>
          <w:u w:val="none"/>
          <w:lang w:val="uk-UA"/>
        </w:rPr>
        <w:t>ATC vet класифікаційний код  QA07-  протимікробні ветеринарні препарати, що застосовуються при кишкових інфекціях. QA07AA06 – Паромоміцин.</w:t>
      </w:r>
    </w:p>
    <w:p w14:paraId="0779A0AD" w14:textId="77777777" w:rsidR="007C1849" w:rsidRPr="00646646" w:rsidRDefault="007C1849" w:rsidP="007C1849">
      <w:pPr>
        <w:pStyle w:val="3"/>
        <w:ind w:firstLine="567"/>
        <w:jc w:val="both"/>
        <w:rPr>
          <w:b w:val="0"/>
          <w:u w:val="none"/>
          <w:lang w:val="uk-UA"/>
        </w:rPr>
      </w:pPr>
      <w:r w:rsidRPr="00646646">
        <w:rPr>
          <w:b w:val="0"/>
          <w:u w:val="none"/>
          <w:lang w:val="uk-UA"/>
        </w:rPr>
        <w:t xml:space="preserve">Паромоміцин належить до групи аміноглікозидних антибіотиків. Він володіє бактерицидною  дією, а також протипротозойною. Паромоміцин змінює зчитування м-РНК (або і-РНК), що порушує синтез білка. Бактерицидна активність паромоміцину в основному пояснюється його незворотним зв'язуванням з рибосомами. </w:t>
      </w:r>
    </w:p>
    <w:p w14:paraId="6015C771" w14:textId="77777777" w:rsidR="007C1849" w:rsidRPr="00646646" w:rsidRDefault="007C1849" w:rsidP="007C1849">
      <w:pPr>
        <w:pStyle w:val="3"/>
        <w:ind w:firstLine="567"/>
        <w:jc w:val="both"/>
        <w:rPr>
          <w:b w:val="0"/>
          <w:u w:val="none"/>
          <w:lang w:val="uk-UA"/>
        </w:rPr>
      </w:pPr>
      <w:r w:rsidRPr="00646646">
        <w:rPr>
          <w:b w:val="0"/>
          <w:u w:val="none"/>
          <w:lang w:val="uk-UA"/>
        </w:rPr>
        <w:t xml:space="preserve">Паромоміцин має широкий спектр дії проти багатьох грампозитивних і грамнегативних бактерій, включаючи </w:t>
      </w:r>
      <w:r w:rsidRPr="00646646">
        <w:rPr>
          <w:rFonts w:ascii="Arial" w:hAnsi="Arial" w:cs="Arial"/>
          <w:b w:val="0"/>
          <w:sz w:val="20"/>
          <w:u w:val="none"/>
          <w:lang w:val="uk-UA"/>
        </w:rPr>
        <w:t xml:space="preserve"> </w:t>
      </w:r>
      <w:r w:rsidRPr="00646646">
        <w:rPr>
          <w:rStyle w:val="af1"/>
          <w:b w:val="0"/>
          <w:szCs w:val="24"/>
          <w:u w:val="none"/>
        </w:rPr>
        <w:t>E. coli</w:t>
      </w:r>
      <w:r w:rsidRPr="00646646">
        <w:rPr>
          <w:b w:val="0"/>
          <w:szCs w:val="24"/>
          <w:u w:val="none"/>
          <w:lang w:val="uk-UA"/>
        </w:rPr>
        <w:t>.</w:t>
      </w:r>
      <w:r w:rsidRPr="00646646">
        <w:rPr>
          <w:b w:val="0"/>
          <w:u w:val="none"/>
          <w:lang w:val="uk-UA"/>
        </w:rPr>
        <w:t xml:space="preserve"> Паромоміцин діє залежно від концентрації. Ідентифіковано п'ять механізмів резистентності до аміглікозидів: зміни в рибосомах внаслідок мутацій, зниження проникності клітинної стінки бактерій, активне виведення (ефлюкс), ферментативна модифікація рибосом та ферментативна інактивація антибіотика. Перші три механізми резистентності виникають внаслідок мутацій певних генів у бактеріальній хромосомі. Четвертий і п'ятий механізми резистентності виникають лише після поглинання мобільних генетичних елементів, що кодують резистентність. Паромоміцин з високою частотою селекціонує резистентність та перехресну резистентність до багатьох інших аміноглікозидів серед кишкових бактерій. Поширеність резистентності </w:t>
      </w:r>
      <w:r w:rsidRPr="00646646">
        <w:rPr>
          <w:b w:val="0"/>
          <w:i/>
          <w:iCs/>
          <w:u w:val="none"/>
          <w:lang w:val="uk-UA"/>
        </w:rPr>
        <w:t>E. coli</w:t>
      </w:r>
      <w:r w:rsidRPr="00646646">
        <w:rPr>
          <w:b w:val="0"/>
          <w:u w:val="none"/>
          <w:lang w:val="uk-UA"/>
        </w:rPr>
        <w:t xml:space="preserve"> до паромоміцину була відносно стабільною в період з 2002 по 2015 рік і становила близько 40% для патогенних мікроорганізмів у великої рогатої худоби та 10% для патогенних мікроорганізмів у свиней.</w:t>
      </w:r>
    </w:p>
    <w:p w14:paraId="3E91210A" w14:textId="77777777" w:rsidR="007C1849" w:rsidRPr="00646646" w:rsidRDefault="007C1849" w:rsidP="007C1849">
      <w:pPr>
        <w:pStyle w:val="3"/>
        <w:ind w:firstLine="567"/>
        <w:jc w:val="both"/>
        <w:rPr>
          <w:b w:val="0"/>
          <w:u w:val="none"/>
          <w:lang w:val="uk-UA"/>
        </w:rPr>
      </w:pPr>
      <w:r w:rsidRPr="00646646">
        <w:rPr>
          <w:b w:val="0"/>
          <w:u w:val="none"/>
          <w:lang w:val="uk-UA"/>
        </w:rPr>
        <w:t>До паромоміцину чутливі більшість грампозитивних та грамнегативних бактерій, чутливими є сальмонели та шиґели; проте найбільш чутливими є найпростіші – амеби, лямблії, лейшманії та криптоспоридії.</w:t>
      </w:r>
    </w:p>
    <w:p w14:paraId="60AD5CD7" w14:textId="77777777" w:rsidR="007C1849" w:rsidRPr="00646646" w:rsidRDefault="007C1849" w:rsidP="007C1849">
      <w:pPr>
        <w:pStyle w:val="3"/>
        <w:ind w:firstLine="567"/>
        <w:jc w:val="both"/>
        <w:rPr>
          <w:b w:val="0"/>
          <w:szCs w:val="24"/>
          <w:u w:val="none"/>
          <w:lang w:val="uk-UA"/>
        </w:rPr>
      </w:pPr>
      <w:r w:rsidRPr="00646646">
        <w:rPr>
          <w:b w:val="0"/>
          <w:szCs w:val="24"/>
          <w:u w:val="none"/>
          <w:lang w:val="uk-UA"/>
        </w:rPr>
        <w:t>Паромоміцин активний щодо багатьох грамнегативних (</w:t>
      </w:r>
      <w:r w:rsidRPr="00646646">
        <w:rPr>
          <w:b w:val="0"/>
          <w:i/>
          <w:szCs w:val="24"/>
          <w:u w:val="none"/>
          <w:lang w:val="uk-UA"/>
        </w:rPr>
        <w:t>Streptococcus agalactiae</w:t>
      </w:r>
      <w:r w:rsidRPr="00646646">
        <w:rPr>
          <w:b w:val="0"/>
          <w:szCs w:val="24"/>
          <w:u w:val="none"/>
          <w:lang w:val="uk-UA"/>
        </w:rPr>
        <w:t xml:space="preserve">, </w:t>
      </w:r>
      <w:r w:rsidRPr="00646646">
        <w:rPr>
          <w:b w:val="0"/>
          <w:i/>
          <w:szCs w:val="24"/>
          <w:u w:val="none"/>
          <w:lang w:val="uk-UA"/>
        </w:rPr>
        <w:t xml:space="preserve">S. equisimilis, S. hyicus, Diplococcus pneumonia, Listeria monocytogenes, Staphylococci, </w:t>
      </w:r>
      <w:r w:rsidRPr="00646646">
        <w:rPr>
          <w:b w:val="0"/>
          <w:szCs w:val="24"/>
          <w:u w:val="none"/>
          <w:lang w:val="uk-UA"/>
        </w:rPr>
        <w:t xml:space="preserve">а також проти </w:t>
      </w:r>
      <w:r w:rsidRPr="00646646">
        <w:rPr>
          <w:b w:val="0"/>
          <w:i/>
          <w:szCs w:val="24"/>
          <w:u w:val="none"/>
          <w:lang w:val="uk-UA"/>
        </w:rPr>
        <w:t>Mycobacterium tuberculosis</w:t>
      </w:r>
      <w:r w:rsidRPr="00646646">
        <w:rPr>
          <w:b w:val="0"/>
          <w:szCs w:val="24"/>
          <w:u w:val="none"/>
          <w:lang w:val="uk-UA"/>
        </w:rPr>
        <w:t xml:space="preserve"> і </w:t>
      </w:r>
      <w:r w:rsidRPr="00646646">
        <w:rPr>
          <w:b w:val="0"/>
          <w:i/>
          <w:szCs w:val="24"/>
          <w:u w:val="none"/>
          <w:lang w:val="uk-UA"/>
        </w:rPr>
        <w:t>Mycoplasma hominis</w:t>
      </w:r>
      <w:r w:rsidRPr="00646646">
        <w:rPr>
          <w:b w:val="0"/>
          <w:szCs w:val="24"/>
          <w:u w:val="none"/>
          <w:lang w:val="uk-UA"/>
        </w:rPr>
        <w:t xml:space="preserve"> при більш високих концентраціях) та грамнегативних мікроорганізмів (</w:t>
      </w:r>
      <w:r w:rsidRPr="00646646">
        <w:rPr>
          <w:b w:val="0"/>
          <w:i/>
          <w:szCs w:val="24"/>
          <w:u w:val="none"/>
          <w:lang w:val="uk-UA"/>
        </w:rPr>
        <w:t>E. coli, Salmonella typhimurium, S. pullorum, Brucella abortus, B. melitensis</w:t>
      </w:r>
      <w:r w:rsidRPr="00646646">
        <w:rPr>
          <w:b w:val="0"/>
          <w:szCs w:val="24"/>
          <w:u w:val="none"/>
          <w:lang w:val="uk-UA"/>
        </w:rPr>
        <w:t xml:space="preserve">). Паромоміцин ефективний проти багатьох найпростіших, таких як </w:t>
      </w:r>
      <w:r w:rsidRPr="00646646">
        <w:rPr>
          <w:b w:val="0"/>
          <w:i/>
          <w:szCs w:val="24"/>
          <w:u w:val="none"/>
          <w:lang w:val="uk-UA"/>
        </w:rPr>
        <w:t>Entamoeba histolytica, Trichomonas spp., Giardia intestinalis, Leishmania spp</w:t>
      </w:r>
      <w:r w:rsidRPr="00646646">
        <w:rPr>
          <w:b w:val="0"/>
          <w:szCs w:val="24"/>
          <w:u w:val="none"/>
          <w:lang w:val="uk-UA"/>
        </w:rPr>
        <w:t xml:space="preserve">. і </w:t>
      </w:r>
      <w:r w:rsidRPr="00646646">
        <w:rPr>
          <w:b w:val="0"/>
          <w:i/>
          <w:szCs w:val="24"/>
          <w:u w:val="none"/>
          <w:lang w:val="uk-UA"/>
        </w:rPr>
        <w:t xml:space="preserve">Cryptosporidium parvum. </w:t>
      </w:r>
      <w:r w:rsidRPr="00646646">
        <w:rPr>
          <w:b w:val="0"/>
          <w:szCs w:val="24"/>
          <w:u w:val="none"/>
          <w:lang w:val="uk-UA"/>
        </w:rPr>
        <w:t xml:space="preserve">У ветеринарній медицині найважливішими бактеріальними інфекціями, що підлягаються лікуванню паромоміцином, є захворювання, викликані </w:t>
      </w:r>
      <w:r w:rsidRPr="00646646">
        <w:rPr>
          <w:b w:val="0"/>
          <w:i/>
          <w:szCs w:val="24"/>
          <w:u w:val="none"/>
          <w:lang w:val="uk-UA"/>
        </w:rPr>
        <w:t>E. coli</w:t>
      </w:r>
      <w:r w:rsidRPr="00646646">
        <w:rPr>
          <w:b w:val="0"/>
          <w:szCs w:val="24"/>
          <w:u w:val="none"/>
          <w:lang w:val="uk-UA"/>
        </w:rPr>
        <w:t xml:space="preserve"> і </w:t>
      </w:r>
      <w:r w:rsidRPr="00646646">
        <w:rPr>
          <w:b w:val="0"/>
          <w:i/>
          <w:szCs w:val="24"/>
          <w:u w:val="none"/>
          <w:lang w:val="uk-UA"/>
        </w:rPr>
        <w:t>Samonella spp</w:t>
      </w:r>
      <w:r w:rsidRPr="00646646">
        <w:rPr>
          <w:b w:val="0"/>
          <w:szCs w:val="24"/>
          <w:u w:val="none"/>
          <w:lang w:val="uk-UA"/>
        </w:rPr>
        <w:t>.</w:t>
      </w:r>
    </w:p>
    <w:p w14:paraId="75CF86A2" w14:textId="77777777" w:rsidR="007C1849" w:rsidRPr="00646646" w:rsidRDefault="007C1849" w:rsidP="007C1849">
      <w:pPr>
        <w:suppressAutoHyphens/>
        <w:ind w:firstLine="567"/>
        <w:jc w:val="both"/>
        <w:rPr>
          <w:i/>
          <w:iCs/>
          <w:szCs w:val="20"/>
          <w:lang w:eastAsia="hu-HU"/>
        </w:rPr>
      </w:pPr>
      <w:r w:rsidRPr="00646646">
        <w:rPr>
          <w:szCs w:val="20"/>
          <w:lang w:eastAsia="hu-HU"/>
        </w:rPr>
        <w:t xml:space="preserve">Паромоміцин також володіє антипротозойною дією. У дослідженнях </w:t>
      </w:r>
      <w:r w:rsidRPr="00646646">
        <w:rPr>
          <w:i/>
          <w:szCs w:val="20"/>
          <w:lang w:eastAsia="hu-HU"/>
        </w:rPr>
        <w:t>in vitro</w:t>
      </w:r>
      <w:r w:rsidRPr="00646646">
        <w:rPr>
          <w:szCs w:val="20"/>
          <w:lang w:eastAsia="hu-HU"/>
        </w:rPr>
        <w:t xml:space="preserve"> із використанням клітинних ліній НСТ-8 та Сасо-2 спостерігали інгібуючу активність паромоміцину щодо </w:t>
      </w:r>
      <w:r w:rsidRPr="00646646">
        <w:rPr>
          <w:i/>
          <w:iCs/>
          <w:szCs w:val="20"/>
          <w:lang w:eastAsia="hu-HU"/>
        </w:rPr>
        <w:t>Cryptosporidium parvum.</w:t>
      </w:r>
    </w:p>
    <w:p w14:paraId="356CEF96" w14:textId="77777777" w:rsidR="007C1849" w:rsidRPr="00646646" w:rsidRDefault="007C1849" w:rsidP="007C1849">
      <w:pPr>
        <w:suppressAutoHyphens/>
        <w:ind w:firstLine="567"/>
        <w:jc w:val="both"/>
        <w:rPr>
          <w:szCs w:val="20"/>
          <w:lang w:eastAsia="hu-HU"/>
        </w:rPr>
      </w:pPr>
      <w:r w:rsidRPr="00646646">
        <w:rPr>
          <w:szCs w:val="20"/>
          <w:lang w:eastAsia="hu-HU"/>
        </w:rPr>
        <w:t xml:space="preserve">Біодоступність паромоміцину за одноразового перорального застосування телятам віком 8-10 днів у дозі 150 мг паромоміцину/кг маси тіла становила 3,23 %. Середня максимальна концентрація паромоміцину в плазмі (Cmax) становила 4,148 ± 3,106 мг/л, середній час досягнення максимальної концентрації (Tmax) - 4,75 години (2-12 годин), а середній кінцевий період напіввиведення (t1/2) - близько 10 годин. </w:t>
      </w:r>
    </w:p>
    <w:p w14:paraId="2F30155A" w14:textId="77777777" w:rsidR="007C1849" w:rsidRPr="00646646" w:rsidRDefault="007C1849" w:rsidP="007C1849">
      <w:pPr>
        <w:suppressAutoHyphens/>
        <w:ind w:firstLine="567"/>
        <w:jc w:val="both"/>
        <w:rPr>
          <w:szCs w:val="20"/>
          <w:lang w:val="ru-RU" w:eastAsia="hu-HU"/>
        </w:rPr>
      </w:pPr>
      <w:r w:rsidRPr="00646646">
        <w:rPr>
          <w:szCs w:val="20"/>
          <w:lang w:eastAsia="hu-HU"/>
        </w:rPr>
        <w:t>Паромоміцин демонструє вікову фармакокінетику, причому найбільша системна експозиція спостерігається у новонароджених тварин.</w:t>
      </w:r>
    </w:p>
    <w:p w14:paraId="62AFD896" w14:textId="77777777" w:rsidR="007C1849" w:rsidRPr="00646646" w:rsidRDefault="007C1849" w:rsidP="007C1849">
      <w:pPr>
        <w:suppressAutoHyphens/>
        <w:ind w:firstLine="567"/>
        <w:jc w:val="both"/>
        <w:rPr>
          <w:szCs w:val="20"/>
          <w:lang w:eastAsia="hu-HU"/>
        </w:rPr>
      </w:pPr>
    </w:p>
    <w:p w14:paraId="0F14E9DB" w14:textId="77777777" w:rsidR="007C1849" w:rsidRPr="00646646" w:rsidRDefault="007C1849" w:rsidP="007C1849">
      <w:pPr>
        <w:suppressAutoHyphens/>
        <w:ind w:firstLine="567"/>
        <w:jc w:val="both"/>
        <w:rPr>
          <w:szCs w:val="20"/>
          <w:lang w:eastAsia="hu-HU"/>
        </w:rPr>
      </w:pPr>
      <w:r w:rsidRPr="00646646">
        <w:rPr>
          <w:szCs w:val="20"/>
          <w:lang w:eastAsia="hu-HU"/>
        </w:rPr>
        <w:t>Основна частина дози виводиться у незміненому вигляді з фекаліями, тоді як абсорбована фракція виводиться майже виключно з сечею у вигляді незміненого паромоміцину.</w:t>
      </w:r>
    </w:p>
    <w:p w14:paraId="305C3799" w14:textId="77777777" w:rsidR="007C1849" w:rsidRPr="00646646" w:rsidRDefault="007C1849" w:rsidP="007C1849">
      <w:pPr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5. Клінічні особливості</w:t>
      </w:r>
    </w:p>
    <w:p w14:paraId="5CCDB588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5.1 Вид тварин</w:t>
      </w:r>
    </w:p>
    <w:p w14:paraId="5ABA1126" w14:textId="77777777" w:rsidR="007C1849" w:rsidRPr="00646646" w:rsidRDefault="007C1849" w:rsidP="007C1849">
      <w:pPr>
        <w:ind w:left="567"/>
        <w:jc w:val="both"/>
      </w:pPr>
      <w:r w:rsidRPr="00646646">
        <w:t>Велика рогата худоба (телята віком до 3 місяців), свині.</w:t>
      </w:r>
    </w:p>
    <w:p w14:paraId="2F30CA7A" w14:textId="77777777" w:rsidR="007C1849" w:rsidRPr="00646646" w:rsidRDefault="007C1849" w:rsidP="007C1849">
      <w:pPr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5.2 Показання до застосування</w:t>
      </w:r>
    </w:p>
    <w:p w14:paraId="7DD484D5" w14:textId="77777777" w:rsidR="007C1849" w:rsidRPr="00646646" w:rsidRDefault="007C1849" w:rsidP="007C1849">
      <w:pPr>
        <w:widowControl w:val="0"/>
        <w:tabs>
          <w:tab w:val="left" w:pos="709"/>
        </w:tabs>
        <w:ind w:firstLine="567"/>
        <w:jc w:val="both"/>
        <w:rPr>
          <w:u w:val="single"/>
        </w:rPr>
      </w:pPr>
      <w:r w:rsidRPr="00646646">
        <w:rPr>
          <w:u w:val="single"/>
        </w:rPr>
        <w:t>Велика рогата худоба (телята віком до 3 місяців):</w:t>
      </w:r>
    </w:p>
    <w:p w14:paraId="5CF8C967" w14:textId="77777777" w:rsidR="007C1849" w:rsidRPr="00646646" w:rsidRDefault="007C1849" w:rsidP="007C1849">
      <w:pPr>
        <w:widowControl w:val="0"/>
        <w:tabs>
          <w:tab w:val="left" w:pos="709"/>
        </w:tabs>
        <w:ind w:firstLine="567"/>
        <w:jc w:val="both"/>
        <w:rPr>
          <w:i/>
          <w:iCs/>
        </w:rPr>
      </w:pPr>
      <w:r w:rsidRPr="00646646">
        <w:rPr>
          <w:i/>
          <w:iCs/>
        </w:rPr>
        <w:t>Колібактеріоз</w:t>
      </w:r>
    </w:p>
    <w:p w14:paraId="4F534F28" w14:textId="77777777" w:rsidR="007C1849" w:rsidRPr="00646646" w:rsidRDefault="007C1849" w:rsidP="007C1849">
      <w:pPr>
        <w:widowControl w:val="0"/>
        <w:tabs>
          <w:tab w:val="left" w:pos="709"/>
        </w:tabs>
        <w:ind w:firstLine="567"/>
        <w:jc w:val="both"/>
      </w:pPr>
      <w:r w:rsidRPr="00646646">
        <w:t xml:space="preserve">Лікування телят віком до 3 місяців за захворювань травного каналу, що спричинені </w:t>
      </w:r>
      <w:r w:rsidRPr="00646646">
        <w:rPr>
          <w:i/>
        </w:rPr>
        <w:t>Escherichia coli</w:t>
      </w:r>
      <w:r w:rsidRPr="00646646">
        <w:t>, чутливими до паромоміцину.</w:t>
      </w:r>
    </w:p>
    <w:p w14:paraId="4A108A19" w14:textId="77777777" w:rsidR="007C1849" w:rsidRPr="00646646" w:rsidRDefault="007C1849" w:rsidP="007C1849">
      <w:pPr>
        <w:widowControl w:val="0"/>
        <w:tabs>
          <w:tab w:val="left" w:pos="709"/>
        </w:tabs>
        <w:ind w:firstLine="567"/>
        <w:jc w:val="both"/>
        <w:rPr>
          <w:u w:val="single"/>
        </w:rPr>
      </w:pPr>
      <w:r w:rsidRPr="00646646">
        <w:rPr>
          <w:u w:val="single"/>
        </w:rPr>
        <w:t>Велика рогата худоба (новонароджені телята):</w:t>
      </w:r>
    </w:p>
    <w:p w14:paraId="778EAF61" w14:textId="77777777" w:rsidR="007C1849" w:rsidRPr="00646646" w:rsidRDefault="007C1849" w:rsidP="007C1849">
      <w:pPr>
        <w:widowControl w:val="0"/>
        <w:tabs>
          <w:tab w:val="left" w:pos="709"/>
        </w:tabs>
        <w:ind w:firstLine="567"/>
        <w:jc w:val="both"/>
        <w:rPr>
          <w:i/>
          <w:iCs/>
        </w:rPr>
      </w:pPr>
      <w:r w:rsidRPr="00646646">
        <w:rPr>
          <w:i/>
          <w:iCs/>
        </w:rPr>
        <w:t>Криптоспоридіоз</w:t>
      </w:r>
    </w:p>
    <w:p w14:paraId="37EB1553" w14:textId="77777777" w:rsidR="007C1849" w:rsidRPr="00646646" w:rsidRDefault="007C1849" w:rsidP="007C1849">
      <w:pPr>
        <w:widowControl w:val="0"/>
        <w:tabs>
          <w:tab w:val="left" w:pos="709"/>
        </w:tabs>
        <w:ind w:firstLine="567"/>
        <w:jc w:val="both"/>
      </w:pPr>
      <w:r w:rsidRPr="00646646">
        <w:t xml:space="preserve">Лікування новонароджених телят за захворювань травного каналу, що спричинені  </w:t>
      </w:r>
      <w:r w:rsidRPr="00646646">
        <w:rPr>
          <w:i/>
          <w:iCs/>
        </w:rPr>
        <w:t>Cryptosporidium parvum</w:t>
      </w:r>
      <w:r w:rsidRPr="00646646">
        <w:t>. Після застосування препарату відбувається зменшення діареї та зменшення виділення ооцист з фекаліями. Застосування препарату слід розпочати протягом 24 годин після початку діареї.</w:t>
      </w:r>
    </w:p>
    <w:p w14:paraId="509DD902" w14:textId="77777777" w:rsidR="007C1849" w:rsidRPr="00646646" w:rsidRDefault="007C1849" w:rsidP="007C1849">
      <w:pPr>
        <w:widowControl w:val="0"/>
        <w:tabs>
          <w:tab w:val="left" w:pos="709"/>
        </w:tabs>
        <w:ind w:firstLine="567"/>
        <w:jc w:val="both"/>
        <w:rPr>
          <w:u w:val="single"/>
        </w:rPr>
      </w:pPr>
      <w:r w:rsidRPr="00646646">
        <w:rPr>
          <w:u w:val="single"/>
        </w:rPr>
        <w:t>Свині:</w:t>
      </w:r>
    </w:p>
    <w:p w14:paraId="529B02FC" w14:textId="77777777" w:rsidR="007C1849" w:rsidRPr="00646646" w:rsidRDefault="007C1849" w:rsidP="007C1849">
      <w:pPr>
        <w:widowControl w:val="0"/>
        <w:tabs>
          <w:tab w:val="left" w:pos="709"/>
        </w:tabs>
        <w:ind w:firstLine="567"/>
        <w:jc w:val="both"/>
        <w:rPr>
          <w:i/>
          <w:iCs/>
        </w:rPr>
      </w:pPr>
      <w:r w:rsidRPr="00646646">
        <w:rPr>
          <w:i/>
          <w:iCs/>
        </w:rPr>
        <w:t>Колібактеріоз</w:t>
      </w:r>
    </w:p>
    <w:p w14:paraId="1FCE4E8C" w14:textId="77777777" w:rsidR="007C1849" w:rsidRPr="00646646" w:rsidRDefault="007C1849" w:rsidP="007C1849">
      <w:pPr>
        <w:widowControl w:val="0"/>
        <w:tabs>
          <w:tab w:val="left" w:pos="709"/>
        </w:tabs>
        <w:ind w:firstLine="567"/>
        <w:jc w:val="both"/>
      </w:pPr>
      <w:r w:rsidRPr="00646646">
        <w:t xml:space="preserve">Лікування свиней при захворюваннях травного каналу, що спричинені </w:t>
      </w:r>
      <w:r w:rsidRPr="00646646">
        <w:rPr>
          <w:i/>
        </w:rPr>
        <w:t>Escherichia coli</w:t>
      </w:r>
      <w:r w:rsidRPr="00646646">
        <w:t>, чутливими до паромоміцину.</w:t>
      </w:r>
    </w:p>
    <w:p w14:paraId="48A811E6" w14:textId="77777777" w:rsidR="007C1849" w:rsidRPr="00646646" w:rsidRDefault="007C1849" w:rsidP="007C1849">
      <w:pPr>
        <w:widowControl w:val="0"/>
        <w:tabs>
          <w:tab w:val="left" w:pos="709"/>
          <w:tab w:val="left" w:pos="6540"/>
        </w:tabs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5.3 Протипоказання</w:t>
      </w:r>
      <w:r w:rsidRPr="00646646">
        <w:rPr>
          <w:b/>
          <w:lang w:eastAsia="ar-SA"/>
        </w:rPr>
        <w:tab/>
      </w:r>
    </w:p>
    <w:p w14:paraId="72C37181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Не застосовувати тваринам з підвищеною чутливістю до паромоміцину, аміноглікозидів або інших компонентів препарату. </w:t>
      </w:r>
    </w:p>
    <w:p w14:paraId="4EE6509B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Не застосовувати тваринам з порушеною функцією нирок чи печінки. </w:t>
      </w:r>
    </w:p>
    <w:p w14:paraId="74AF3621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Не застосовувати жуйним тваринам з функціонально розвинутими передшлунками.</w:t>
      </w:r>
    </w:p>
    <w:p w14:paraId="00BC7871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Не застосовувати індикам через ризик виникнення антимікробної резистентності кишкових бактерій.</w:t>
      </w:r>
    </w:p>
    <w:p w14:paraId="5965429E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rFonts w:eastAsia="Arial"/>
          <w:lang w:eastAsia="ar-SA"/>
        </w:rPr>
      </w:pPr>
      <w:r w:rsidRPr="00646646">
        <w:rPr>
          <w:rFonts w:eastAsia="Arial"/>
          <w:lang w:eastAsia="ar-SA"/>
        </w:rPr>
        <w:t>Загальні анестетики і міорелаксанти збільшують нейроблокуючий ефект аміноглікозидів. Поєднання цих речовин може викликати параліч і апное. Не застосовувати одночасно з сильними діуретиками і потенційно ото- або нефротоксичними речовинами.</w:t>
      </w:r>
    </w:p>
    <w:p w14:paraId="1CB990C0" w14:textId="77777777" w:rsidR="007C1849" w:rsidRPr="00646646" w:rsidRDefault="007C1849" w:rsidP="007C1849">
      <w:pPr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 xml:space="preserve">5.4 Побічна дія  </w:t>
      </w:r>
    </w:p>
    <w:p w14:paraId="15F2E387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У рідкісних випадках спостерігаються м'які фекалії. </w:t>
      </w:r>
    </w:p>
    <w:p w14:paraId="220F7A5A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Частота побічних реакцій визначається за наступною схемою:</w:t>
      </w:r>
    </w:p>
    <w:p w14:paraId="46D58D09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- дуже поширені (більше ніж 1 з 10 тварин, у яких проявились побічні реакції)</w:t>
      </w:r>
    </w:p>
    <w:p w14:paraId="099070E8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- поширені (більше ніж 1, але менше 10 тварин на 100 оброблених тварин)</w:t>
      </w:r>
    </w:p>
    <w:p w14:paraId="05483792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- нечасті (більше ніж 1, але менше 10 тварин на 1000 оброблених тварин)</w:t>
      </w:r>
    </w:p>
    <w:p w14:paraId="3E8893DC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- рідкісні (більше ніж 1, але менше 10 тварин на 10 000 тварин)</w:t>
      </w:r>
    </w:p>
    <w:p w14:paraId="189D4520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- дуже рідкісні (менше ніж 1 тварина з 10 000 тварин, які отримували лікування, включаючи окремі звіти).</w:t>
      </w:r>
    </w:p>
    <w:p w14:paraId="6471AD2C" w14:textId="77777777" w:rsidR="007C1849" w:rsidRPr="00646646" w:rsidRDefault="007C1849" w:rsidP="007C1849">
      <w:pPr>
        <w:suppressAutoHyphens/>
        <w:ind w:firstLine="567"/>
        <w:jc w:val="both"/>
        <w:rPr>
          <w:highlight w:val="yellow"/>
          <w:lang w:eastAsia="ar-SA"/>
        </w:rPr>
      </w:pPr>
      <w:r w:rsidRPr="00646646">
        <w:rPr>
          <w:lang w:eastAsia="ar-SA"/>
        </w:rPr>
        <w:t>Аміноглікозидні антибіотики, такі як паромоміцин, можуть викликати ото- і нефротоксичність.</w:t>
      </w:r>
    </w:p>
    <w:p w14:paraId="780D54F0" w14:textId="77777777" w:rsidR="007C1849" w:rsidRPr="00646646" w:rsidRDefault="007C1849" w:rsidP="007C1849">
      <w:pPr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 xml:space="preserve">5.5 Особливі застереження при використанні </w:t>
      </w:r>
    </w:p>
    <w:p w14:paraId="328060DE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Використання препарату має поєднуватися з належними санітарно-гігієнічними методами утримання, належною гігієною, вентиляцією, відсутністю перенасичення приміщення тваринами.</w:t>
      </w:r>
    </w:p>
    <w:p w14:paraId="0210EADC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Оскільки препарат потенційно ототоксичний і нефротоксичний, рекомендується перед застосуванням оцінити функцію нирок. З особливою обережністю слід призначати препарат новонародженим тваринам внаслідок надмірного всмоктування паромоміцину з травного каналу у них. Використання продукту у новонароджених телят протягом 5 діб повинно ґрунтуватися на оцінці користі та ризику лікарем ветеринарної медицини.</w:t>
      </w:r>
    </w:p>
    <w:p w14:paraId="5E0EB4F7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Як і у випадку з будь-яким протимікробних засобом, часте та багаторазове застосування протипротозойних препаратів одного класу може призвести до розвитку резистентності.</w:t>
      </w:r>
    </w:p>
    <w:p w14:paraId="754146AA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Застосування препарату повинно відповідати офіційній, національній та регіональній антимікробній політиці.</w:t>
      </w:r>
    </w:p>
    <w:p w14:paraId="6440DDEB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i/>
          <w:iCs/>
          <w:u w:val="single"/>
          <w:lang w:eastAsia="ar-SA"/>
        </w:rPr>
      </w:pPr>
      <w:r w:rsidRPr="00646646">
        <w:rPr>
          <w:i/>
          <w:iCs/>
          <w:u w:val="single"/>
          <w:lang w:eastAsia="ar-SA"/>
        </w:rPr>
        <w:t>Колібактеріоз</w:t>
      </w:r>
    </w:p>
    <w:p w14:paraId="278E6B72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lastRenderedPageBreak/>
        <w:t>У разі недостатнього споживання води/молока твариною слід лікувати парентерально, використовуючи ін'єкційний препарат, відповідно до рекомендацій лікаря ветеринарної медицини.</w:t>
      </w:r>
    </w:p>
    <w:p w14:paraId="1DBCBD8C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Слід уникати тривалого або багаторазового використання препарату шляхом удосконалення практики управління в господарстві, належного очищення та дезінфекції приміщення. Використання препарату має ґрунтуватися на тестуванні чутливості мікроорганізмів, виділених з фекалій, до пароміцину. Якщо це неможливо, терапія повинна базуватися на місцевій (регіональній, фермерській) епізоотологічній інформації про антимікробну чутливість мікроорганізмів. При використанні протимікробних препаратів повинна враховуватися офіційна, національна та регіональна антимікробна політика.</w:t>
      </w:r>
    </w:p>
    <w:p w14:paraId="6CC0621F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Використання препарату з недотриманням чи ухиленням від рекомендацій, що вказані в листівці-вкладці на препарат, може збільшити поширеність бактерій, стійких до паромоміцину, і може знизити ефективність лікування аміноглікозидами внаслідок потенціальної перехресної резистентності.</w:t>
      </w:r>
    </w:p>
    <w:p w14:paraId="2B813D4B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Аміноглікозиди вважаються критичними антимікробними речовинами у гуманній медицині. Отже, вони не повинні використовуватися в якості засобу першого вибору у ветеринарній медицині.</w:t>
      </w:r>
    </w:p>
    <w:p w14:paraId="18192DCE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i/>
          <w:iCs/>
          <w:u w:val="single"/>
          <w:lang w:eastAsia="ar-SA"/>
        </w:rPr>
      </w:pPr>
      <w:r w:rsidRPr="00646646">
        <w:rPr>
          <w:i/>
          <w:iCs/>
          <w:u w:val="single"/>
          <w:lang w:eastAsia="ar-SA"/>
        </w:rPr>
        <w:t>Криптоспоридіоз</w:t>
      </w:r>
    </w:p>
    <w:p w14:paraId="18FEFD39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Телятам слід застосовувати препарат лише після підтвердження наявності ооцист криптоспоридій у фекаліях. </w:t>
      </w:r>
    </w:p>
    <w:p w14:paraId="09452ED4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За можливості слід надавати перевагу схемі лікування, в яку не включені антибіотики, відповідно до принципів розсудливого використання антибіотиків.</w:t>
      </w:r>
    </w:p>
    <w:p w14:paraId="3E223A8E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Для лікування телят, хворих на анорексію, препарат слід застосовувати, попередньо змішавши з 0,5 л розчину електролітів. Тварини повинні отримувати достатню кількість молозива після народження.</w:t>
      </w:r>
    </w:p>
    <w:p w14:paraId="422D34A0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5.6 Застосування під час вагітності, лактації, несучості</w:t>
      </w:r>
    </w:p>
    <w:p w14:paraId="5B48AC33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highlight w:val="yellow"/>
          <w:lang w:eastAsia="ar-SA"/>
        </w:rPr>
      </w:pPr>
      <w:r w:rsidRPr="00646646">
        <w:rPr>
          <w:lang w:eastAsia="ar-SA"/>
        </w:rPr>
        <w:t>Дослідження на лабораторних тваринах (щурах і кролях) не показали тератогенного, фетотоксичного або матернотоксичного впливу. Використовувати під час вагітності не рекомендується.</w:t>
      </w:r>
    </w:p>
    <w:p w14:paraId="0E0304B6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5.7 Взаємодія з іншими засобами та інші форми взаємодії</w:t>
      </w:r>
    </w:p>
    <w:p w14:paraId="24D867FA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rFonts w:eastAsia="Arial"/>
          <w:lang w:eastAsia="ar-SA"/>
        </w:rPr>
      </w:pPr>
      <w:r w:rsidRPr="00646646">
        <w:rPr>
          <w:rFonts w:eastAsia="Arial"/>
          <w:lang w:eastAsia="ar-SA"/>
        </w:rPr>
        <w:t>Загальні анестетики і міорелаксанти збільшують нейроблокуючий ефект аміноглікозидів. Поєднання цих речовин може викликати параліч і апное. Не застосовувати одночасно з сильними діуретиками і потенційно ото- або нефротоксичними речовинами.</w:t>
      </w:r>
    </w:p>
    <w:p w14:paraId="1D199B98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5.8 Дози і способи введення тваринам різного віку</w:t>
      </w:r>
    </w:p>
    <w:p w14:paraId="7A72CB6A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Перорально.</w:t>
      </w:r>
    </w:p>
    <w:p w14:paraId="20F2A05D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Для забезпечення правильної дози препарату, слід якомога точніше визначати масу тіла тварин.</w:t>
      </w:r>
    </w:p>
    <w:p w14:paraId="16FED732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u w:val="single"/>
          <w:lang w:eastAsia="ar-SA"/>
        </w:rPr>
      </w:pPr>
      <w:r w:rsidRPr="00646646">
        <w:rPr>
          <w:u w:val="single"/>
          <w:lang w:eastAsia="ar-SA"/>
        </w:rPr>
        <w:t>Телята віком до 3 місяців:</w:t>
      </w:r>
    </w:p>
    <w:p w14:paraId="4992509C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i/>
          <w:iCs/>
          <w:lang w:eastAsia="ar-SA"/>
        </w:rPr>
      </w:pPr>
      <w:r w:rsidRPr="00646646">
        <w:rPr>
          <w:i/>
          <w:iCs/>
          <w:lang w:eastAsia="ar-SA"/>
        </w:rPr>
        <w:t>Колібактеріоз</w:t>
      </w:r>
    </w:p>
    <w:p w14:paraId="0D2B5A66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Тривалість лікування: 3-5 діб.</w:t>
      </w:r>
    </w:p>
    <w:p w14:paraId="5337B9D8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Перорально з молоком або замінником молока.</w:t>
      </w:r>
      <w:bookmarkStart w:id="0" w:name="_GoBack"/>
      <w:bookmarkEnd w:id="0"/>
    </w:p>
    <w:p w14:paraId="1BE1758D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Рекомендована доза становить 25-50 мг паромоміцину сульфату на 1 кг маси тіла на добу (1,25 – 2,5 мл препарату на 10 кг маси тіла на добу).</w:t>
      </w:r>
    </w:p>
    <w:p w14:paraId="33677325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u w:val="single"/>
          <w:lang w:eastAsia="ar-SA"/>
        </w:rPr>
      </w:pPr>
      <w:r w:rsidRPr="00646646">
        <w:rPr>
          <w:u w:val="single"/>
          <w:lang w:eastAsia="ar-SA"/>
        </w:rPr>
        <w:t>Новонароджені телята:</w:t>
      </w:r>
    </w:p>
    <w:p w14:paraId="22B932E0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i/>
          <w:iCs/>
          <w:lang w:eastAsia="ar-SA"/>
        </w:rPr>
      </w:pPr>
      <w:r w:rsidRPr="00646646">
        <w:rPr>
          <w:i/>
          <w:iCs/>
          <w:lang w:eastAsia="ar-SA"/>
        </w:rPr>
        <w:t>Криптоспоридіоз</w:t>
      </w:r>
    </w:p>
    <w:p w14:paraId="35E18C73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Тривалість лікування: 5 діб.</w:t>
      </w:r>
    </w:p>
    <w:p w14:paraId="28D5DFC9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Перорально з молоком або замінником молока, або безпосередньо в ротову порожнину за допомогою шприца або відповідного пристрою для перорального застосування.</w:t>
      </w:r>
    </w:p>
    <w:p w14:paraId="2FF6EADA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Рекомендована доза становить 150 мг паромоміцину сульфату на 1 кг маси тіла на добу (7,5 мл препарату на 10 кг маси тіла на добу).</w:t>
      </w:r>
    </w:p>
    <w:p w14:paraId="2E9C75F4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У разі недостатнього споживання молока, весь розчин, що залишився, слід ввести перорально безпосередньо в ротову порожнину тварини.</w:t>
      </w:r>
    </w:p>
    <w:p w14:paraId="4365D36E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u w:val="single"/>
          <w:lang w:eastAsia="ar-SA"/>
        </w:rPr>
      </w:pPr>
      <w:r w:rsidRPr="00646646">
        <w:rPr>
          <w:u w:val="single"/>
          <w:lang w:eastAsia="ar-SA"/>
        </w:rPr>
        <w:t xml:space="preserve">Свині: </w:t>
      </w:r>
    </w:p>
    <w:p w14:paraId="346CE8DF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i/>
          <w:iCs/>
          <w:lang w:eastAsia="ar-SA"/>
        </w:rPr>
      </w:pPr>
      <w:r w:rsidRPr="00646646">
        <w:rPr>
          <w:i/>
          <w:iCs/>
          <w:lang w:eastAsia="ar-SA"/>
        </w:rPr>
        <w:t>Колібактеріоз</w:t>
      </w:r>
    </w:p>
    <w:p w14:paraId="512E788B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Тривалість лікування: 5 діб.</w:t>
      </w:r>
    </w:p>
    <w:p w14:paraId="7ED35BE9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Перорально з питною водою.</w:t>
      </w:r>
    </w:p>
    <w:p w14:paraId="0D79FDAC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lastRenderedPageBreak/>
        <w:t>Рекомендована доза становить 25-40 мг паромоміцину сульфату на 1 кг маси тіла на добу (1,25 - 2 мл препарату на 10 кг маси тіла на добу).</w:t>
      </w:r>
    </w:p>
    <w:p w14:paraId="1C056510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</w:p>
    <w:p w14:paraId="1602C56C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Для застосування з питною водою, молоком або замінником молока, слід розрахувати добову кількість препарату, яка ґрунтується на кількості тварин, що підлягають лікуванню, та рекомендованій дозі, розрахованій за формулою:</w:t>
      </w:r>
    </w:p>
    <w:p w14:paraId="035C72F7" w14:textId="77777777" w:rsidR="007C1849" w:rsidRPr="00646646" w:rsidRDefault="007C1849" w:rsidP="007C1849">
      <w:pPr>
        <w:pStyle w:val="Normal1"/>
        <w:tabs>
          <w:tab w:val="clear" w:pos="567"/>
          <w:tab w:val="left" w:pos="426"/>
        </w:tabs>
        <w:rPr>
          <w:color w:val="auto"/>
          <w:sz w:val="24"/>
          <w:highlight w:val="white"/>
          <w:lang w:val="uk-UA"/>
        </w:rPr>
      </w:pPr>
    </w:p>
    <w:p w14:paraId="0CB32016" w14:textId="77777777" w:rsidR="007C1849" w:rsidRPr="00646646" w:rsidRDefault="007C1849" w:rsidP="007C1849">
      <w:pPr>
        <w:pStyle w:val="Normal1"/>
        <w:tabs>
          <w:tab w:val="clear" w:pos="567"/>
          <w:tab w:val="left" w:pos="426"/>
        </w:tabs>
        <w:ind w:left="567"/>
        <w:rPr>
          <w:color w:val="auto"/>
          <w:sz w:val="24"/>
          <w:lang w:val="uk-UA"/>
        </w:rPr>
      </w:pPr>
      <w:r w:rsidRPr="00646646">
        <w:rPr>
          <w:color w:val="auto"/>
          <w:sz w:val="24"/>
          <w:highlight w:val="white"/>
          <w:lang w:val="uk-UA"/>
        </w:rPr>
        <w:t xml:space="preserve">мл препарату/  </w:t>
      </w:r>
      <w:r w:rsidRPr="00646646">
        <w:rPr>
          <w:color w:val="auto"/>
          <w:sz w:val="24"/>
          <w:highlight w:val="white"/>
          <w:lang w:val="uk-UA"/>
        </w:rPr>
        <w:tab/>
        <w:t xml:space="preserve"> x</w:t>
      </w:r>
      <w:r w:rsidRPr="00646646">
        <w:rPr>
          <w:color w:val="auto"/>
          <w:sz w:val="24"/>
          <w:highlight w:val="white"/>
          <w:lang w:val="uk-UA"/>
        </w:rPr>
        <w:tab/>
        <w:t>середня маса тіла тварин,</w:t>
      </w:r>
      <w:r w:rsidRPr="00646646">
        <w:rPr>
          <w:color w:val="auto"/>
          <w:sz w:val="24"/>
          <w:highlight w:val="white"/>
          <w:lang w:val="uk-UA"/>
        </w:rPr>
        <w:tab/>
      </w:r>
      <w:r w:rsidRPr="00646646">
        <w:rPr>
          <w:color w:val="auto"/>
          <w:sz w:val="24"/>
          <w:highlight w:val="white"/>
          <w:lang w:val="uk-UA"/>
        </w:rPr>
        <w:tab/>
      </w:r>
      <w:r w:rsidRPr="00646646">
        <w:rPr>
          <w:color w:val="auto"/>
          <w:sz w:val="24"/>
          <w:highlight w:val="white"/>
          <w:lang w:val="uk-UA"/>
        </w:rPr>
        <w:tab/>
      </w:r>
      <w:r w:rsidRPr="00646646">
        <w:rPr>
          <w:color w:val="auto"/>
          <w:sz w:val="24"/>
          <w:highlight w:val="white"/>
          <w:lang w:val="uk-UA"/>
        </w:rPr>
        <w:tab/>
      </w:r>
      <w:r w:rsidRPr="00646646">
        <w:rPr>
          <w:color w:val="auto"/>
          <w:sz w:val="24"/>
          <w:highlight w:val="white"/>
          <w:lang w:val="uk-UA"/>
        </w:rPr>
        <w:tab/>
      </w:r>
      <w:r w:rsidRPr="00646646">
        <w:rPr>
          <w:color w:val="auto"/>
          <w:sz w:val="24"/>
          <w:highlight w:val="white"/>
          <w:lang w:val="uk-UA"/>
        </w:rPr>
        <w:tab/>
        <w:t xml:space="preserve">    кг маси тіла/ добу</w:t>
      </w:r>
      <w:r w:rsidRPr="00646646">
        <w:rPr>
          <w:color w:val="auto"/>
          <w:sz w:val="24"/>
          <w:highlight w:val="white"/>
          <w:lang w:val="uk-UA"/>
        </w:rPr>
        <w:tab/>
      </w:r>
      <w:r w:rsidRPr="00646646">
        <w:rPr>
          <w:color w:val="auto"/>
          <w:sz w:val="24"/>
          <w:highlight w:val="white"/>
          <w:lang w:val="uk-UA"/>
        </w:rPr>
        <w:tab/>
        <w:t>що лікуються  (кг)</w:t>
      </w:r>
      <w:r w:rsidRPr="00646646">
        <w:rPr>
          <w:color w:val="auto"/>
          <w:sz w:val="24"/>
          <w:lang w:val="uk-UA"/>
        </w:rPr>
        <w:tab/>
        <w:t xml:space="preserve">     </w:t>
      </w:r>
      <w:r w:rsidRPr="00646646">
        <w:rPr>
          <w:color w:val="auto"/>
          <w:sz w:val="24"/>
          <w:lang w:val="uk-UA"/>
        </w:rPr>
        <w:tab/>
        <w:t xml:space="preserve">         мл препарату на літр</w:t>
      </w:r>
    </w:p>
    <w:p w14:paraId="4EE2A1DD" w14:textId="77777777" w:rsidR="007C1849" w:rsidRPr="00646646" w:rsidRDefault="007C1849" w:rsidP="007C1849">
      <w:pPr>
        <w:pStyle w:val="Normal1"/>
        <w:tabs>
          <w:tab w:val="clear" w:pos="567"/>
          <w:tab w:val="left" w:pos="6096"/>
        </w:tabs>
        <w:ind w:left="567"/>
        <w:rPr>
          <w:color w:val="auto"/>
          <w:sz w:val="24"/>
          <w:lang w:val="uk-UA"/>
        </w:rPr>
      </w:pPr>
      <w:r w:rsidRPr="00646646">
        <w:rPr>
          <w:color w:val="auto"/>
          <w:sz w:val="24"/>
          <w:highlight w:val="white"/>
          <w:u w:val="single"/>
          <w:lang w:val="uk-UA"/>
        </w:rPr>
        <w:t xml:space="preserve">                                                                                 </w:t>
      </w:r>
      <w:r w:rsidRPr="00646646">
        <w:rPr>
          <w:color w:val="auto"/>
          <w:sz w:val="24"/>
          <w:highlight w:val="white"/>
          <w:u w:val="single"/>
          <w:lang w:val="uk-UA"/>
        </w:rPr>
        <w:tab/>
      </w:r>
      <w:r w:rsidRPr="00646646">
        <w:rPr>
          <w:color w:val="auto"/>
          <w:sz w:val="24"/>
          <w:highlight w:val="white"/>
          <w:u w:val="single"/>
          <w:lang w:val="uk-UA"/>
        </w:rPr>
        <w:tab/>
        <w:t xml:space="preserve">   </w:t>
      </w:r>
      <w:r w:rsidRPr="00646646">
        <w:rPr>
          <w:color w:val="auto"/>
          <w:sz w:val="24"/>
          <w:highlight w:val="white"/>
          <w:lang w:val="uk-UA"/>
        </w:rPr>
        <w:t>=    питної води/ молока/ замінник</w:t>
      </w:r>
      <w:r w:rsidRPr="00646646">
        <w:rPr>
          <w:color w:val="auto"/>
          <w:sz w:val="24"/>
          <w:lang w:val="uk-UA"/>
        </w:rPr>
        <w:t xml:space="preserve">а                                                                                       </w:t>
      </w:r>
    </w:p>
    <w:p w14:paraId="67688C20" w14:textId="77777777" w:rsidR="007C1849" w:rsidRPr="00646646" w:rsidRDefault="007C1849" w:rsidP="007C1849">
      <w:pPr>
        <w:pStyle w:val="Normal1"/>
        <w:tabs>
          <w:tab w:val="clear" w:pos="567"/>
          <w:tab w:val="left" w:pos="426"/>
        </w:tabs>
        <w:ind w:left="567"/>
        <w:rPr>
          <w:color w:val="auto"/>
          <w:sz w:val="24"/>
          <w:highlight w:val="white"/>
          <w:lang w:val="uk-UA"/>
        </w:rPr>
      </w:pPr>
      <w:r w:rsidRPr="00646646">
        <w:rPr>
          <w:color w:val="auto"/>
          <w:sz w:val="24"/>
          <w:highlight w:val="white"/>
          <w:lang w:val="uk-UA"/>
        </w:rPr>
        <w:t>Середнє споживання води/ молока/ замінника молока</w:t>
      </w:r>
      <w:r w:rsidRPr="00646646">
        <w:rPr>
          <w:color w:val="auto"/>
          <w:sz w:val="24"/>
          <w:highlight w:val="white"/>
          <w:lang w:val="uk-UA"/>
        </w:rPr>
        <w:tab/>
        <w:t xml:space="preserve">         молока</w:t>
      </w:r>
    </w:p>
    <w:p w14:paraId="30D49698" w14:textId="77777777" w:rsidR="007C1849" w:rsidRPr="00646646" w:rsidRDefault="007C1849" w:rsidP="007C1849">
      <w:pPr>
        <w:pStyle w:val="Normal1"/>
        <w:tabs>
          <w:tab w:val="clear" w:pos="567"/>
          <w:tab w:val="left" w:pos="426"/>
        </w:tabs>
        <w:ind w:left="567"/>
        <w:rPr>
          <w:color w:val="auto"/>
          <w:highlight w:val="white"/>
          <w:lang w:val="uk-UA"/>
        </w:rPr>
      </w:pPr>
      <w:r w:rsidRPr="00646646">
        <w:rPr>
          <w:color w:val="auto"/>
          <w:sz w:val="24"/>
          <w:highlight w:val="white"/>
          <w:lang w:val="uk-UA"/>
        </w:rPr>
        <w:t>однією твариною протягом доби (л)</w:t>
      </w:r>
      <w:r w:rsidRPr="00646646">
        <w:rPr>
          <w:color w:val="auto"/>
          <w:highlight w:val="white"/>
          <w:lang w:val="uk-UA"/>
        </w:rPr>
        <w:tab/>
      </w:r>
      <w:r w:rsidRPr="00646646">
        <w:rPr>
          <w:color w:val="auto"/>
          <w:highlight w:val="white"/>
          <w:lang w:val="uk-UA"/>
        </w:rPr>
        <w:tab/>
      </w:r>
    </w:p>
    <w:p w14:paraId="66A21F6E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highlight w:val="yellow"/>
          <w:lang w:eastAsia="ar-SA"/>
        </w:rPr>
      </w:pPr>
    </w:p>
    <w:p w14:paraId="749CB379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Споживання води, молока або замінника молока з препаратом залежить від декількох факторів, включаючи клінічний стан тварин і умови їх утримання, такі як температура навколишнього середовища та вологість. Для того, щоб визначити правильне дозування, необхідно контролювати споживання питної води, молока або замінника молока, і відповідним чином коригувати концентрацію паромоміцину.</w:t>
      </w:r>
    </w:p>
    <w:p w14:paraId="3A9E141B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Робочий розчин слід готувати кожні 6 годин (на основі молока або замінника молока) або кожні 24 години (на основі питної води).</w:t>
      </w:r>
    </w:p>
    <w:p w14:paraId="5D76200E" w14:textId="77777777" w:rsidR="007C1849" w:rsidRPr="00646646" w:rsidRDefault="007C1849" w:rsidP="007C1849">
      <w:pPr>
        <w:widowControl w:val="0"/>
        <w:tabs>
          <w:tab w:val="left" w:pos="0"/>
        </w:tabs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5.9 Передозування (симптоми, невідкладні заходи, антидоти)</w:t>
      </w:r>
    </w:p>
    <w:p w14:paraId="17B8A788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Після застосування 1-разової, 2-разової та 3-разової рекомендованої дози для лікування криптоспоридіозу (150, 300 та 450 мг паромоміцину сульфат на кг маси тіла відповідно) протягом тривалості, що втричі перевищує рекомендовану (15 днів) новонародженим телятам (віком 5-13 днів), у деяких телят спостерігалися гістопатологічні аномалії нирок. Ці відхилення можуть спостерігатися у телят без будь-якого лікування, однак нефротоксичність, пов'язану з лікуванням, не можна повністю виключити.</w:t>
      </w:r>
    </w:p>
    <w:p w14:paraId="21FFDC35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Введення новонародженим телятам 3-разової рекомендованої дози викликало ознаки незначної втрати апетиту, що зникли наприкінці періоду лікування. Зменшення споживання молока мало обмежений вплив на приріст маси тіла. </w:t>
      </w:r>
    </w:p>
    <w:p w14:paraId="6FAFA1E3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Застосування новонародженим телятам препарату у дозі, що у 5 разів перевищує рекомендовану, може викликати сильне запалення шлунково-кишкового тракту та некротичне запалення сечового міхура. Повторне передозування (у 5-разовій дозі) може призвести до загибелі тварини.</w:t>
      </w:r>
    </w:p>
    <w:p w14:paraId="3FE269FD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5.10 Спеціальні застереження</w:t>
      </w:r>
    </w:p>
    <w:p w14:paraId="6C08F7BC" w14:textId="77777777" w:rsidR="007C1849" w:rsidRPr="00646646" w:rsidRDefault="007C1849" w:rsidP="007C1849">
      <w:pPr>
        <w:suppressAutoHyphens/>
        <w:ind w:firstLine="567"/>
        <w:rPr>
          <w:lang w:eastAsia="ar-SA"/>
        </w:rPr>
      </w:pPr>
      <w:r w:rsidRPr="00646646">
        <w:rPr>
          <w:lang w:eastAsia="ar-SA"/>
        </w:rPr>
        <w:t>Відсутні.</w:t>
      </w:r>
    </w:p>
    <w:p w14:paraId="2F14C58F" w14:textId="77777777" w:rsidR="007C1849" w:rsidRPr="00646646" w:rsidRDefault="007C1849" w:rsidP="007C1849">
      <w:pPr>
        <w:suppressAutoHyphens/>
        <w:ind w:firstLine="567"/>
        <w:rPr>
          <w:b/>
          <w:lang w:eastAsia="ar-SA"/>
        </w:rPr>
      </w:pPr>
      <w:r w:rsidRPr="00646646">
        <w:rPr>
          <w:b/>
          <w:lang w:eastAsia="ar-SA"/>
        </w:rPr>
        <w:t>5.11 Період виведення (каренції)</w:t>
      </w:r>
    </w:p>
    <w:p w14:paraId="4AEBC5E8" w14:textId="77777777" w:rsidR="007C1849" w:rsidRPr="00646646" w:rsidRDefault="007C1849" w:rsidP="007C1849">
      <w:pPr>
        <w:suppressAutoHyphens/>
        <w:ind w:firstLine="540"/>
        <w:jc w:val="both"/>
        <w:rPr>
          <w:lang w:eastAsia="ar-SA"/>
        </w:rPr>
      </w:pPr>
      <w:r w:rsidRPr="00646646">
        <w:rPr>
          <w:lang w:eastAsia="ar-SA"/>
        </w:rPr>
        <w:t xml:space="preserve">Забій тварин на м'ясо дозволяють через 20 діб (після лікування телят з несформованими передшлунками віком до 3 місяців </w:t>
      </w:r>
      <w:r w:rsidRPr="00646646">
        <w:t xml:space="preserve">при захворюваннях травного каналу, що спричинені </w:t>
      </w:r>
      <w:r w:rsidRPr="00646646">
        <w:rPr>
          <w:i/>
        </w:rPr>
        <w:t>Escherichia coli</w:t>
      </w:r>
      <w:r w:rsidRPr="00646646">
        <w:rPr>
          <w:lang w:eastAsia="ar-SA"/>
        </w:rPr>
        <w:t>), 110 діб (після лікування новонароджених телят</w:t>
      </w:r>
      <w:r w:rsidRPr="00646646">
        <w:t xml:space="preserve"> при захворюваннях травного каналу, що спричинені </w:t>
      </w:r>
      <w:r w:rsidRPr="00646646">
        <w:rPr>
          <w:i/>
          <w:iCs/>
        </w:rPr>
        <w:t>Cryptosporidium parvum</w:t>
      </w:r>
      <w:r w:rsidRPr="00646646">
        <w:rPr>
          <w:lang w:eastAsia="ar-SA"/>
        </w:rPr>
        <w:t xml:space="preserve">) та 3 доби (свині) після останнього застосування препарату. </w:t>
      </w:r>
      <w:r w:rsidRPr="00646646">
        <w:t>Отримане, до зазначеного терміну, м'ясо утилізують або згодовують непродуктивним тваринам, залежно від висновку лікаря ветеринарної медицини.</w:t>
      </w:r>
    </w:p>
    <w:p w14:paraId="52142FA5" w14:textId="77777777" w:rsidR="007C1849" w:rsidRPr="00646646" w:rsidRDefault="007C1849" w:rsidP="007C1849">
      <w:pPr>
        <w:suppressAutoHyphens/>
        <w:ind w:firstLine="540"/>
        <w:jc w:val="both"/>
        <w:rPr>
          <w:b/>
          <w:lang w:eastAsia="ar-SA"/>
        </w:rPr>
      </w:pPr>
      <w:r w:rsidRPr="00646646">
        <w:rPr>
          <w:b/>
          <w:lang w:eastAsia="ar-SA"/>
        </w:rPr>
        <w:t>5.12 Спеціальні застереження для осіб і обслуговуючого персоналу</w:t>
      </w:r>
    </w:p>
    <w:p w14:paraId="6B74A907" w14:textId="77777777" w:rsidR="007C1849" w:rsidRPr="00646646" w:rsidRDefault="007C1849" w:rsidP="007C1849">
      <w:pPr>
        <w:shd w:val="clear" w:color="auto" w:fill="FFFFFF"/>
        <w:tabs>
          <w:tab w:val="left" w:pos="480"/>
        </w:tabs>
        <w:suppressAutoHyphens/>
        <w:spacing w:before="10"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Персонал, який працює з препаратом, повинен дотримуватись основних правил гігієни та безпеки, прийнятих при роботі з ветеринарними препаратами. </w:t>
      </w:r>
    </w:p>
    <w:p w14:paraId="75855472" w14:textId="77777777" w:rsidR="007C1849" w:rsidRPr="00646646" w:rsidRDefault="007C1849" w:rsidP="007C1849">
      <w:pPr>
        <w:shd w:val="clear" w:color="auto" w:fill="FFFFFF"/>
        <w:tabs>
          <w:tab w:val="left" w:pos="480"/>
        </w:tabs>
        <w:suppressAutoHyphens/>
        <w:spacing w:before="10"/>
        <w:ind w:firstLine="567"/>
        <w:jc w:val="both"/>
        <w:rPr>
          <w:lang w:eastAsia="ar-SA"/>
        </w:rPr>
      </w:pPr>
      <w:r w:rsidRPr="00646646">
        <w:rPr>
          <w:lang w:eastAsia="ar-SA"/>
        </w:rPr>
        <w:t>Цей препарат містить паромоміцин, який може викликати алергічні реакції у деяких людей. Не слід контактувати з препаратом у разі підвищеної чутливості до компонентів препарату.</w:t>
      </w:r>
    </w:p>
    <w:p w14:paraId="170590A1" w14:textId="77777777" w:rsidR="007C1849" w:rsidRPr="00646646" w:rsidRDefault="007C1849" w:rsidP="007C1849">
      <w:pPr>
        <w:shd w:val="clear" w:color="auto" w:fill="FFFFFF"/>
        <w:tabs>
          <w:tab w:val="left" w:pos="480"/>
        </w:tabs>
        <w:suppressAutoHyphens/>
        <w:spacing w:before="10"/>
        <w:ind w:firstLine="567"/>
        <w:jc w:val="both"/>
        <w:rPr>
          <w:lang w:eastAsia="ar-SA"/>
        </w:rPr>
      </w:pPr>
      <w:r w:rsidRPr="00646646">
        <w:rPr>
          <w:lang w:eastAsia="ar-SA"/>
        </w:rPr>
        <w:t>Слід уникати контакту зі шкірою та очима. При роботі з препаратом слід використовувати засоби індивідуального захисту, що складаються з захисного одягу та непроникних рукавичок. У разі випадкового контакту зі шкірою або очима слід промити великою кількістю води.</w:t>
      </w:r>
    </w:p>
    <w:p w14:paraId="4B8A23AA" w14:textId="77777777" w:rsidR="007C1849" w:rsidRPr="00646646" w:rsidRDefault="007C1849" w:rsidP="007C1849">
      <w:pPr>
        <w:shd w:val="clear" w:color="auto" w:fill="FFFFFF"/>
        <w:tabs>
          <w:tab w:val="left" w:pos="480"/>
        </w:tabs>
        <w:suppressAutoHyphens/>
        <w:spacing w:before="10"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У разі появи симптомів після експозиції (почервоніння шкіри) слід негайно звернутися до лікаря. Набряк обличчя, губ і очей або труднощі з диханням є більш серйозними симптомами і потребують термінової медичної допомоги. Після роботи з препаратом слід ретельно вимити руки з милом. </w:t>
      </w:r>
    </w:p>
    <w:p w14:paraId="0D870CEC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lastRenderedPageBreak/>
        <w:t>6. Фармацевтичні особливості</w:t>
      </w:r>
    </w:p>
    <w:p w14:paraId="11077D3F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6.1 Форми несумісності</w:t>
      </w:r>
    </w:p>
    <w:p w14:paraId="675CA69C" w14:textId="77777777" w:rsidR="007C1849" w:rsidRPr="00646646" w:rsidRDefault="007C1849" w:rsidP="007C1849">
      <w:pPr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За відсутності досліджень сумісності цей ветеринарний лікарський засіб не слід змішувати з іншими ветеринарними лікарськими засобами.</w:t>
      </w:r>
    </w:p>
    <w:p w14:paraId="6870AEDF" w14:textId="77777777" w:rsidR="007C1849" w:rsidRPr="00646646" w:rsidRDefault="007C1849" w:rsidP="007C1849">
      <w:pPr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6.2 Термін придатності</w:t>
      </w:r>
    </w:p>
    <w:p w14:paraId="45F1990C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Термін придатності ветеринарного лікарського засобу, розфасованого для продажу у пляшки з поліетилену високої щільності (HDPE):</w:t>
      </w:r>
    </w:p>
    <w:p w14:paraId="60893ABF" w14:textId="77777777" w:rsidR="007C1849" w:rsidRPr="00646646" w:rsidRDefault="007C1849" w:rsidP="007C1849">
      <w:pPr>
        <w:widowControl w:val="0"/>
        <w:suppressAutoHyphens/>
        <w:ind w:left="567" w:firstLine="567"/>
        <w:jc w:val="both"/>
        <w:rPr>
          <w:lang w:eastAsia="ar-SA"/>
        </w:rPr>
      </w:pPr>
      <w:r w:rsidRPr="00646646">
        <w:rPr>
          <w:lang w:eastAsia="ar-SA"/>
        </w:rPr>
        <w:t>- 125 мл: 1 рік</w:t>
      </w:r>
    </w:p>
    <w:p w14:paraId="0B9FA5FB" w14:textId="77777777" w:rsidR="007C1849" w:rsidRPr="00646646" w:rsidRDefault="007C1849" w:rsidP="007C1849">
      <w:pPr>
        <w:widowControl w:val="0"/>
        <w:suppressAutoHyphens/>
        <w:ind w:left="567" w:firstLine="567"/>
        <w:jc w:val="both"/>
        <w:rPr>
          <w:lang w:eastAsia="ar-SA"/>
        </w:rPr>
      </w:pPr>
      <w:r w:rsidRPr="00646646">
        <w:rPr>
          <w:lang w:eastAsia="ar-SA"/>
        </w:rPr>
        <w:t>- 250 мл: 18 місяців</w:t>
      </w:r>
    </w:p>
    <w:p w14:paraId="06AF3394" w14:textId="77777777" w:rsidR="007C1849" w:rsidRPr="00646646" w:rsidRDefault="007C1849" w:rsidP="007C1849">
      <w:pPr>
        <w:widowControl w:val="0"/>
        <w:suppressAutoHyphens/>
        <w:ind w:left="567" w:firstLine="567"/>
        <w:jc w:val="both"/>
        <w:rPr>
          <w:lang w:eastAsia="ar-SA"/>
        </w:rPr>
      </w:pPr>
      <w:r w:rsidRPr="00646646">
        <w:rPr>
          <w:lang w:eastAsia="ar-SA"/>
        </w:rPr>
        <w:t>- 500 мл: 2 роки</w:t>
      </w:r>
    </w:p>
    <w:p w14:paraId="0A5A5A62" w14:textId="77777777" w:rsidR="007C1849" w:rsidRPr="00646646" w:rsidRDefault="007C1849" w:rsidP="007C1849">
      <w:pPr>
        <w:widowControl w:val="0"/>
        <w:suppressAutoHyphens/>
        <w:ind w:left="567" w:firstLine="567"/>
        <w:jc w:val="both"/>
        <w:rPr>
          <w:lang w:eastAsia="ar-SA"/>
        </w:rPr>
      </w:pPr>
      <w:r w:rsidRPr="00646646">
        <w:rPr>
          <w:lang w:eastAsia="ar-SA"/>
        </w:rPr>
        <w:t>- 1 л: 3 роки</w:t>
      </w:r>
    </w:p>
    <w:p w14:paraId="474A1C1F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Термін придатності ветеринарного лікарського засобу, розфасованого для продажу у пляшки з поліетилену високої щільності / етиленвінілового спирту / поліетилену високої щільності (HDPE/EVOH/HDPE):</w:t>
      </w:r>
    </w:p>
    <w:p w14:paraId="0125A5C9" w14:textId="77777777" w:rsidR="007C1849" w:rsidRPr="00646646" w:rsidRDefault="007C1849" w:rsidP="007C1849">
      <w:pPr>
        <w:widowControl w:val="0"/>
        <w:suppressAutoHyphens/>
        <w:ind w:left="567" w:firstLine="567"/>
        <w:jc w:val="both"/>
        <w:rPr>
          <w:lang w:eastAsia="ar-SA"/>
        </w:rPr>
      </w:pPr>
      <w:r w:rsidRPr="00646646">
        <w:rPr>
          <w:lang w:eastAsia="ar-SA"/>
        </w:rPr>
        <w:t>- 250 мл: 6 місяців</w:t>
      </w:r>
    </w:p>
    <w:p w14:paraId="1C55BF4D" w14:textId="77777777" w:rsidR="007C1849" w:rsidRPr="00646646" w:rsidRDefault="007C1849" w:rsidP="007C1849">
      <w:pPr>
        <w:widowControl w:val="0"/>
        <w:suppressAutoHyphens/>
        <w:ind w:left="567" w:firstLine="567"/>
        <w:jc w:val="both"/>
        <w:rPr>
          <w:lang w:eastAsia="ar-SA"/>
        </w:rPr>
      </w:pPr>
      <w:r w:rsidRPr="00646646">
        <w:rPr>
          <w:lang w:eastAsia="ar-SA"/>
        </w:rPr>
        <w:t>- 500 мл: 6 місяців</w:t>
      </w:r>
    </w:p>
    <w:p w14:paraId="2098B80E" w14:textId="77777777" w:rsidR="007C1849" w:rsidRPr="00646646" w:rsidRDefault="007C1849" w:rsidP="007C1849">
      <w:pPr>
        <w:widowControl w:val="0"/>
        <w:suppressAutoHyphens/>
        <w:ind w:left="567" w:firstLine="567"/>
        <w:jc w:val="both"/>
        <w:rPr>
          <w:lang w:eastAsia="ar-SA"/>
        </w:rPr>
      </w:pPr>
      <w:r w:rsidRPr="00646646">
        <w:rPr>
          <w:lang w:eastAsia="ar-SA"/>
        </w:rPr>
        <w:t>- 1 л: 6 місяців.</w:t>
      </w:r>
    </w:p>
    <w:p w14:paraId="1DD9B037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>Термін придатності після першого відкриття упаковки:</w:t>
      </w:r>
    </w:p>
    <w:p w14:paraId="4349F5E0" w14:textId="77777777" w:rsidR="007C1849" w:rsidRPr="00646646" w:rsidRDefault="007C1849" w:rsidP="007C1849">
      <w:pPr>
        <w:widowControl w:val="0"/>
        <w:suppressAutoHyphens/>
        <w:ind w:left="567" w:firstLine="567"/>
        <w:jc w:val="both"/>
        <w:rPr>
          <w:lang w:eastAsia="ar-SA"/>
        </w:rPr>
      </w:pPr>
      <w:r w:rsidRPr="00646646">
        <w:rPr>
          <w:lang w:eastAsia="ar-SA"/>
        </w:rPr>
        <w:t>- пляшки з поліетилену високої щільності (HDPE): 6 місяців</w:t>
      </w:r>
    </w:p>
    <w:p w14:paraId="076A63F0" w14:textId="77777777" w:rsidR="007C1849" w:rsidRPr="00646646" w:rsidRDefault="007C1849" w:rsidP="007C1849">
      <w:pPr>
        <w:widowControl w:val="0"/>
        <w:suppressAutoHyphens/>
        <w:ind w:left="567" w:firstLine="567"/>
        <w:jc w:val="both"/>
        <w:rPr>
          <w:lang w:eastAsia="ar-SA"/>
        </w:rPr>
      </w:pPr>
      <w:r w:rsidRPr="00646646">
        <w:rPr>
          <w:lang w:eastAsia="ar-SA"/>
        </w:rPr>
        <w:t>- пляшки з поліетилену високої щільності / етиленвінілового спирту / поліетилену високої щільності (HDPE/EVOH/HDPE): 3 місяці.</w:t>
      </w:r>
    </w:p>
    <w:p w14:paraId="1788A9FC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rPr>
          <w:lang w:eastAsia="ar-SA"/>
        </w:rPr>
        <w:t xml:space="preserve">Після змішування з питною водою, препарат слід використати протягом 24 години, після змішування з молоком/замінником молока – 6 годин. </w:t>
      </w:r>
    </w:p>
    <w:p w14:paraId="70EDDA12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6.3 Особливі заходи зберігання</w:t>
      </w:r>
    </w:p>
    <w:p w14:paraId="6FD3E736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 xml:space="preserve">Пляшки з </w:t>
      </w:r>
      <w:r w:rsidRPr="00646646">
        <w:rPr>
          <w:lang w:eastAsia="ar-SA"/>
        </w:rPr>
        <w:t xml:space="preserve">поліетилену високої щільності (HDPE) </w:t>
      </w:r>
      <w:r w:rsidRPr="00646646">
        <w:t>об'ємом 125 мл та 250 мл: зберігати за температури не вище 25 °C.</w:t>
      </w:r>
    </w:p>
    <w:p w14:paraId="2F59FA6E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 xml:space="preserve">Пляшки з </w:t>
      </w:r>
      <w:r w:rsidRPr="00646646">
        <w:rPr>
          <w:lang w:eastAsia="ar-SA"/>
        </w:rPr>
        <w:t xml:space="preserve">поліетилену високої щільності (HDPE) </w:t>
      </w:r>
      <w:r w:rsidRPr="00646646">
        <w:t>об'ємом 500 мл та 1 л: без особливих умов зберігання.</w:t>
      </w:r>
    </w:p>
    <w:p w14:paraId="29E91286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rPr>
          <w:lang w:eastAsia="ar-SA"/>
        </w:rPr>
        <w:t xml:space="preserve">Пляшки з поліетилену високої щільності / етиленвінілового спирту / поліетилену високої щільності (HDPE/EVOH/HDPE) </w:t>
      </w:r>
      <w:r w:rsidRPr="00646646">
        <w:t>по 250 мл, 500 мл та 1 л: без особливих умов зберігання.</w:t>
      </w:r>
    </w:p>
    <w:p w14:paraId="6D7859DF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rPr>
          <w:lang w:eastAsia="ar-SA"/>
        </w:rPr>
        <w:t>Після першого відкриття, слід тримати пляшку щільно закритою.</w:t>
      </w:r>
    </w:p>
    <w:p w14:paraId="3D1CACE2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6.4 Природа і склад контейнера первинного пакування</w:t>
      </w:r>
    </w:p>
    <w:p w14:paraId="10213119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>Білі пляшки з поліетилену високої щільності (HDPE), з поліпропіленовою (PP) гвинтовою кришкою та полівінілхлоридним (PVC) або поліетиленовим (LDPE) ущільненням по 125, 250, 500 мл та 1 л.</w:t>
      </w:r>
    </w:p>
    <w:p w14:paraId="64653B23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>Білі пляшки з поліетилену високої щільності/етиленвінілового спирту / поліетилену високої щільності (HDPE/EVOH/HDPE) з гвинтовою кришкою з поліетилену високої щільності (HDPE) по 250, 500 мл та 1 л.</w:t>
      </w:r>
    </w:p>
    <w:p w14:paraId="1A9A8A41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>Поліпропіленовий (PP) дозатор на 30 мл з градуюванням через кожні 5 мл.</w:t>
      </w:r>
    </w:p>
    <w:p w14:paraId="35B69F9A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>Розміри упакування:</w:t>
      </w:r>
    </w:p>
    <w:p w14:paraId="3A15B56E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>Картонна коробка, що містить 1 пластиковий флакон по 125 мл.</w:t>
      </w:r>
    </w:p>
    <w:p w14:paraId="6DDE18AC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>Картонна коробка, що містить 1 пластиковий флакон по 250 мл.</w:t>
      </w:r>
    </w:p>
    <w:p w14:paraId="7C6564E8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>Картонна коробка, що містить 1 пластиковий флакон по 500 мл.</w:t>
      </w:r>
    </w:p>
    <w:p w14:paraId="58DD242C" w14:textId="77777777" w:rsidR="007C1849" w:rsidRPr="00646646" w:rsidRDefault="007C1849" w:rsidP="007C1849">
      <w:pPr>
        <w:widowControl w:val="0"/>
        <w:suppressAutoHyphens/>
        <w:ind w:firstLine="567"/>
        <w:jc w:val="both"/>
      </w:pPr>
      <w:r w:rsidRPr="00646646">
        <w:t>Картонна коробка, що містить 1 пластикову пляшку 1 л.</w:t>
      </w:r>
    </w:p>
    <w:p w14:paraId="36C18A9F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highlight w:val="yellow"/>
        </w:rPr>
      </w:pPr>
      <w:r w:rsidRPr="00646646">
        <w:t>В коробці також міститься поліпропіленовий дозуючий пристрій об’ємом 30 мл, градуйований кожні 5 мл.</w:t>
      </w:r>
    </w:p>
    <w:p w14:paraId="39EFB90C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6.5 Особливі заходи безпеки при поводженні з невикористаним препаратом або із його залишками</w:t>
      </w:r>
    </w:p>
    <w:p w14:paraId="3C9ADF8B" w14:textId="77777777" w:rsidR="007C1849" w:rsidRPr="00646646" w:rsidRDefault="007C1849" w:rsidP="007C1849">
      <w:pPr>
        <w:widowControl w:val="0"/>
        <w:suppressAutoHyphens/>
        <w:ind w:firstLine="567"/>
        <w:jc w:val="both"/>
        <w:rPr>
          <w:lang w:eastAsia="ar-SA"/>
        </w:rPr>
      </w:pPr>
      <w:r w:rsidRPr="00646646">
        <w:t>Порожню упаковку та залишки невикористаного препарату потрібно утилізувати згідно з чинним законодавством.</w:t>
      </w:r>
    </w:p>
    <w:p w14:paraId="1C7EBDB3" w14:textId="77777777" w:rsidR="007C1849" w:rsidRPr="00646646" w:rsidRDefault="007C1849" w:rsidP="007C1849">
      <w:pPr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7. Назва та місцезнаходження власника реєстраційного посвідчення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646646" w:rsidRPr="00646646" w14:paraId="1B28B7C6" w14:textId="77777777" w:rsidTr="005164ED">
        <w:tc>
          <w:tcPr>
            <w:tcW w:w="4960" w:type="dxa"/>
          </w:tcPr>
          <w:p w14:paraId="45404C93" w14:textId="77777777" w:rsidR="007C1849" w:rsidRPr="00646646" w:rsidRDefault="007C1849" w:rsidP="005164ED">
            <w:pPr>
              <w:suppressAutoHyphens/>
              <w:snapToGrid w:val="0"/>
              <w:ind w:firstLine="567"/>
              <w:jc w:val="both"/>
              <w:rPr>
                <w:lang w:eastAsia="ar-SA"/>
              </w:rPr>
            </w:pPr>
            <w:r w:rsidRPr="00646646">
              <w:rPr>
                <w:lang w:eastAsia="ar-SA"/>
              </w:rPr>
              <w:t>Сева Санте Анімаль</w:t>
            </w:r>
          </w:p>
          <w:p w14:paraId="4EC6875B" w14:textId="77777777" w:rsidR="007C1849" w:rsidRPr="00646646" w:rsidRDefault="007C1849" w:rsidP="005164ED">
            <w:pPr>
              <w:suppressAutoHyphens/>
              <w:ind w:left="567"/>
              <w:rPr>
                <w:lang w:eastAsia="ar-SA"/>
              </w:rPr>
            </w:pPr>
            <w:r w:rsidRPr="00646646">
              <w:rPr>
                <w:lang w:eastAsia="ar-SA"/>
              </w:rPr>
              <w:t xml:space="preserve">10 авеню де ла балластіере, </w:t>
            </w:r>
          </w:p>
          <w:p w14:paraId="314393BD" w14:textId="77777777" w:rsidR="007C1849" w:rsidRPr="00646646" w:rsidRDefault="007C1849" w:rsidP="005164ED">
            <w:pPr>
              <w:suppressAutoHyphens/>
              <w:ind w:left="567"/>
              <w:rPr>
                <w:lang w:eastAsia="ar-SA"/>
              </w:rPr>
            </w:pPr>
            <w:r w:rsidRPr="00646646">
              <w:rPr>
                <w:lang w:eastAsia="ar-SA"/>
              </w:rPr>
              <w:t xml:space="preserve">33500 Лібурн </w:t>
            </w:r>
          </w:p>
          <w:p w14:paraId="08877FCC" w14:textId="77777777" w:rsidR="007C1849" w:rsidRPr="00646646" w:rsidRDefault="007C1849" w:rsidP="005164ED">
            <w:pPr>
              <w:suppressAutoHyphens/>
              <w:ind w:firstLine="567"/>
              <w:jc w:val="both"/>
              <w:rPr>
                <w:lang w:eastAsia="ar-SA"/>
              </w:rPr>
            </w:pPr>
            <w:r w:rsidRPr="00646646">
              <w:rPr>
                <w:lang w:eastAsia="ar-SA"/>
              </w:rPr>
              <w:t>Франція</w:t>
            </w:r>
          </w:p>
        </w:tc>
        <w:tc>
          <w:tcPr>
            <w:tcW w:w="4960" w:type="dxa"/>
          </w:tcPr>
          <w:p w14:paraId="513E692F" w14:textId="77777777" w:rsidR="007C1849" w:rsidRPr="00646646" w:rsidRDefault="007C1849" w:rsidP="005164ED">
            <w:pPr>
              <w:suppressAutoHyphens/>
              <w:snapToGrid w:val="0"/>
              <w:ind w:firstLine="567"/>
              <w:rPr>
                <w:bCs/>
                <w:lang w:eastAsia="ar-SA"/>
              </w:rPr>
            </w:pPr>
            <w:r w:rsidRPr="00646646">
              <w:rPr>
                <w:bCs/>
                <w:lang w:eastAsia="ar-SA"/>
              </w:rPr>
              <w:t>Сeva Sante Animale</w:t>
            </w:r>
          </w:p>
          <w:p w14:paraId="62561321" w14:textId="77777777" w:rsidR="007C1849" w:rsidRPr="00646646" w:rsidRDefault="007C1849" w:rsidP="005164ED">
            <w:pPr>
              <w:suppressLineNumbers/>
              <w:suppressAutoHyphens/>
              <w:snapToGrid w:val="0"/>
              <w:ind w:firstLine="567"/>
              <w:rPr>
                <w:lang w:eastAsia="ar-SA"/>
              </w:rPr>
            </w:pPr>
            <w:r w:rsidRPr="00646646">
              <w:rPr>
                <w:lang w:eastAsia="ar-SA"/>
              </w:rPr>
              <w:t>10 avenue de la ballastière</w:t>
            </w:r>
            <w:r w:rsidRPr="00646646">
              <w:rPr>
                <w:lang w:eastAsia="ar-SA"/>
              </w:rPr>
              <w:br/>
              <w:t xml:space="preserve">          33500 Libourne</w:t>
            </w:r>
            <w:r w:rsidRPr="00646646">
              <w:rPr>
                <w:lang w:eastAsia="ar-SA"/>
              </w:rPr>
              <w:br/>
              <w:t xml:space="preserve">          France</w:t>
            </w:r>
          </w:p>
        </w:tc>
      </w:tr>
    </w:tbl>
    <w:p w14:paraId="041EF828" w14:textId="77777777" w:rsidR="007C1849" w:rsidRPr="00646646" w:rsidRDefault="007C1849" w:rsidP="007C1849">
      <w:pPr>
        <w:widowControl w:val="0"/>
        <w:tabs>
          <w:tab w:val="left" w:pos="2340"/>
        </w:tabs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lastRenderedPageBreak/>
        <w:t>8. Назва та місцезнаходження виробника готового продукту</w:t>
      </w:r>
    </w:p>
    <w:tbl>
      <w:tblPr>
        <w:tblW w:w="10347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0"/>
      </w:tblGrid>
      <w:tr w:rsidR="00646646" w:rsidRPr="00646646" w14:paraId="68C38C70" w14:textId="77777777" w:rsidTr="005164ED">
        <w:tc>
          <w:tcPr>
            <w:tcW w:w="5387" w:type="dxa"/>
          </w:tcPr>
          <w:p w14:paraId="3322C61D" w14:textId="77777777" w:rsidR="007C1849" w:rsidRPr="00646646" w:rsidRDefault="007C1849" w:rsidP="005164ED">
            <w:pPr>
              <w:suppressAutoHyphens/>
              <w:snapToGrid w:val="0"/>
              <w:ind w:left="425"/>
              <w:rPr>
                <w:lang w:eastAsia="ar-SA"/>
              </w:rPr>
            </w:pPr>
            <w:r w:rsidRPr="00646646">
              <w:rPr>
                <w:lang w:eastAsia="ar-SA"/>
              </w:rPr>
              <w:t>Сева Санте Анімаль</w:t>
            </w:r>
          </w:p>
          <w:p w14:paraId="5817071F" w14:textId="77777777" w:rsidR="007C1849" w:rsidRPr="00646646" w:rsidRDefault="007C1849" w:rsidP="005164ED">
            <w:pPr>
              <w:suppressAutoHyphens/>
              <w:ind w:left="425"/>
              <w:rPr>
                <w:lang w:eastAsia="ar-SA"/>
              </w:rPr>
            </w:pPr>
            <w:r w:rsidRPr="00646646">
              <w:rPr>
                <w:lang w:eastAsia="ar-SA"/>
              </w:rPr>
              <w:t>З.І. Тре Ле Буа</w:t>
            </w:r>
          </w:p>
          <w:p w14:paraId="06792022" w14:textId="77777777" w:rsidR="007C1849" w:rsidRPr="00646646" w:rsidRDefault="007C1849" w:rsidP="005164ED">
            <w:pPr>
              <w:suppressAutoHyphens/>
              <w:ind w:left="425"/>
              <w:rPr>
                <w:lang w:eastAsia="ar-SA"/>
              </w:rPr>
            </w:pPr>
            <w:r w:rsidRPr="00646646">
              <w:rPr>
                <w:lang w:eastAsia="ar-SA"/>
              </w:rPr>
              <w:t>22600 Лудеак</w:t>
            </w:r>
          </w:p>
          <w:p w14:paraId="6FD27318" w14:textId="77777777" w:rsidR="007C1849" w:rsidRPr="00646646" w:rsidRDefault="007C1849" w:rsidP="005164ED">
            <w:pPr>
              <w:suppressAutoHyphens/>
              <w:ind w:left="425"/>
              <w:rPr>
                <w:lang w:eastAsia="ar-SA"/>
              </w:rPr>
            </w:pPr>
            <w:r w:rsidRPr="00646646">
              <w:rPr>
                <w:lang w:eastAsia="ar-SA"/>
              </w:rPr>
              <w:t>Франція</w:t>
            </w:r>
          </w:p>
        </w:tc>
        <w:tc>
          <w:tcPr>
            <w:tcW w:w="4960" w:type="dxa"/>
          </w:tcPr>
          <w:p w14:paraId="77964924" w14:textId="77777777" w:rsidR="007C1849" w:rsidRPr="00646646" w:rsidRDefault="007C1849" w:rsidP="005164ED">
            <w:pPr>
              <w:snapToGrid w:val="0"/>
              <w:rPr>
                <w:bCs/>
              </w:rPr>
            </w:pPr>
            <w:r w:rsidRPr="00646646">
              <w:rPr>
                <w:bCs/>
              </w:rPr>
              <w:t>Ceva Sante Animale</w:t>
            </w:r>
          </w:p>
          <w:p w14:paraId="5B80D9CB" w14:textId="77777777" w:rsidR="007C1849" w:rsidRPr="00646646" w:rsidRDefault="007C1849" w:rsidP="005164ED">
            <w:pPr>
              <w:pStyle w:val="aa"/>
              <w:snapToGrid w:val="0"/>
              <w:rPr>
                <w:lang w:val="uk-UA"/>
              </w:rPr>
            </w:pPr>
            <w:r w:rsidRPr="00646646">
              <w:rPr>
                <w:lang w:val="uk-UA"/>
              </w:rPr>
              <w:t xml:space="preserve">Z.I. Tres le Bois </w:t>
            </w:r>
          </w:p>
          <w:p w14:paraId="79303A5A" w14:textId="77777777" w:rsidR="007C1849" w:rsidRPr="00646646" w:rsidRDefault="007C1849" w:rsidP="005164ED">
            <w:pPr>
              <w:pStyle w:val="aa"/>
              <w:snapToGrid w:val="0"/>
              <w:rPr>
                <w:lang w:val="uk-UA"/>
              </w:rPr>
            </w:pPr>
            <w:r w:rsidRPr="00646646">
              <w:rPr>
                <w:lang w:val="uk-UA"/>
              </w:rPr>
              <w:t>22600 Loudeac</w:t>
            </w:r>
          </w:p>
          <w:p w14:paraId="4A3B8754" w14:textId="77777777" w:rsidR="007C1849" w:rsidRPr="00646646" w:rsidRDefault="007C1849" w:rsidP="005164ED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646646">
              <w:rPr>
                <w:lang w:eastAsia="ar-SA"/>
              </w:rPr>
              <w:t>France</w:t>
            </w:r>
          </w:p>
        </w:tc>
      </w:tr>
    </w:tbl>
    <w:p w14:paraId="30EF863F" w14:textId="77777777" w:rsidR="007C1849" w:rsidRPr="00646646" w:rsidRDefault="007C1849" w:rsidP="007C1849">
      <w:pPr>
        <w:widowControl w:val="0"/>
        <w:tabs>
          <w:tab w:val="left" w:pos="2340"/>
        </w:tabs>
        <w:suppressAutoHyphens/>
        <w:ind w:firstLine="567"/>
        <w:jc w:val="both"/>
        <w:rPr>
          <w:b/>
          <w:lang w:eastAsia="ar-SA"/>
        </w:rPr>
      </w:pPr>
      <w:r w:rsidRPr="00646646">
        <w:rPr>
          <w:b/>
          <w:lang w:eastAsia="ar-SA"/>
        </w:rPr>
        <w:t>9. Додаткова інформація</w:t>
      </w:r>
    </w:p>
    <w:p w14:paraId="6FFDE564" w14:textId="77777777" w:rsidR="007C1849" w:rsidRPr="00646646" w:rsidRDefault="007C1849" w:rsidP="007C1849">
      <w:pPr>
        <w:tabs>
          <w:tab w:val="left" w:pos="0"/>
        </w:tabs>
        <w:suppressAutoHyphens/>
        <w:jc w:val="center"/>
        <w:rPr>
          <w:lang w:eastAsia="ar-SA"/>
        </w:rPr>
      </w:pPr>
    </w:p>
    <w:p w14:paraId="7A562A9B" w14:textId="77777777" w:rsidR="007C1849" w:rsidRPr="00646646" w:rsidRDefault="007C1849" w:rsidP="007C1849"/>
    <w:p w14:paraId="56AD711F" w14:textId="77777777" w:rsidR="007C1849" w:rsidRPr="00646646" w:rsidRDefault="007C1849" w:rsidP="007C1849"/>
    <w:p w14:paraId="1165BA2C" w14:textId="77777777" w:rsidR="00E0087A" w:rsidRPr="00646646" w:rsidRDefault="00E0087A" w:rsidP="006F087D"/>
    <w:sectPr w:rsidR="00E0087A" w:rsidRPr="00646646" w:rsidSect="00CE38D2">
      <w:footerReference w:type="even" r:id="rId7"/>
      <w:footerReference w:type="default" r:id="rId8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814CA1" w16cid:durableId="42E018D3"/>
  <w16cid:commentId w16cid:paraId="746AA6C1" w16cid:durableId="1E1B1038"/>
  <w16cid:commentId w16cid:paraId="56B7476F" w16cid:durableId="22E4D8B6"/>
  <w16cid:commentId w16cid:paraId="0B3B1F64" w16cid:durableId="56DD4B3E"/>
  <w16cid:commentId w16cid:paraId="048A5329" w16cid:durableId="1E19644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0DCF" w14:textId="77777777" w:rsidR="00761B2D" w:rsidRDefault="00761B2D">
      <w:r>
        <w:separator/>
      </w:r>
    </w:p>
  </w:endnote>
  <w:endnote w:type="continuationSeparator" w:id="0">
    <w:p w14:paraId="5DDA3576" w14:textId="77777777" w:rsidR="00761B2D" w:rsidRDefault="0076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8D1D1" w14:textId="77777777" w:rsidR="00761B2D" w:rsidRDefault="00761B2D" w:rsidP="00817F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3627FA" w14:textId="77777777" w:rsidR="00761B2D" w:rsidRDefault="00761B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8AA91" w14:textId="21898ADC" w:rsidR="00761B2D" w:rsidRDefault="00761B2D" w:rsidP="00817F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6646">
      <w:rPr>
        <w:rStyle w:val="a4"/>
        <w:noProof/>
      </w:rPr>
      <w:t>3</w:t>
    </w:r>
    <w:r>
      <w:rPr>
        <w:rStyle w:val="a4"/>
      </w:rPr>
      <w:fldChar w:fldCharType="end"/>
    </w:r>
  </w:p>
  <w:p w14:paraId="1EA47098" w14:textId="77777777" w:rsidR="00761B2D" w:rsidRDefault="00761B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DA4DC" w14:textId="77777777" w:rsidR="00761B2D" w:rsidRDefault="00761B2D">
      <w:r>
        <w:separator/>
      </w:r>
    </w:p>
  </w:footnote>
  <w:footnote w:type="continuationSeparator" w:id="0">
    <w:p w14:paraId="00807905" w14:textId="77777777" w:rsidR="00761B2D" w:rsidRDefault="0076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3664EE"/>
    <w:multiLevelType w:val="hybridMultilevel"/>
    <w:tmpl w:val="AA7A8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96C"/>
    <w:rsid w:val="00001BE3"/>
    <w:rsid w:val="00015CC8"/>
    <w:rsid w:val="00017F65"/>
    <w:rsid w:val="0003317F"/>
    <w:rsid w:val="00046409"/>
    <w:rsid w:val="00057E87"/>
    <w:rsid w:val="0006096C"/>
    <w:rsid w:val="000638A5"/>
    <w:rsid w:val="00073455"/>
    <w:rsid w:val="000772DF"/>
    <w:rsid w:val="00083FE1"/>
    <w:rsid w:val="000B6343"/>
    <w:rsid w:val="000C317D"/>
    <w:rsid w:val="000E50E1"/>
    <w:rsid w:val="000F4485"/>
    <w:rsid w:val="000F781B"/>
    <w:rsid w:val="001218C1"/>
    <w:rsid w:val="00126FE9"/>
    <w:rsid w:val="00136CC9"/>
    <w:rsid w:val="00141854"/>
    <w:rsid w:val="0016082E"/>
    <w:rsid w:val="00164B3C"/>
    <w:rsid w:val="00192B5F"/>
    <w:rsid w:val="00197F50"/>
    <w:rsid w:val="001A76AB"/>
    <w:rsid w:val="001C1018"/>
    <w:rsid w:val="00202E62"/>
    <w:rsid w:val="0021680E"/>
    <w:rsid w:val="00221159"/>
    <w:rsid w:val="002373B5"/>
    <w:rsid w:val="00245900"/>
    <w:rsid w:val="00247129"/>
    <w:rsid w:val="00247DC5"/>
    <w:rsid w:val="002629CC"/>
    <w:rsid w:val="002677C3"/>
    <w:rsid w:val="002A2D23"/>
    <w:rsid w:val="002A3CD2"/>
    <w:rsid w:val="002C01D2"/>
    <w:rsid w:val="002D16CA"/>
    <w:rsid w:val="002D2C7E"/>
    <w:rsid w:val="002E1050"/>
    <w:rsid w:val="002E43BC"/>
    <w:rsid w:val="00304C92"/>
    <w:rsid w:val="0030585D"/>
    <w:rsid w:val="00311D0D"/>
    <w:rsid w:val="0031263A"/>
    <w:rsid w:val="00312B2B"/>
    <w:rsid w:val="0035049A"/>
    <w:rsid w:val="00367B78"/>
    <w:rsid w:val="00372977"/>
    <w:rsid w:val="00372C68"/>
    <w:rsid w:val="00381AF6"/>
    <w:rsid w:val="00390F12"/>
    <w:rsid w:val="003B0D7F"/>
    <w:rsid w:val="003E7254"/>
    <w:rsid w:val="003F20AE"/>
    <w:rsid w:val="00403136"/>
    <w:rsid w:val="00433819"/>
    <w:rsid w:val="00435F2F"/>
    <w:rsid w:val="00442447"/>
    <w:rsid w:val="004441BE"/>
    <w:rsid w:val="00451113"/>
    <w:rsid w:val="00456C04"/>
    <w:rsid w:val="00486AAE"/>
    <w:rsid w:val="00490B61"/>
    <w:rsid w:val="004A242C"/>
    <w:rsid w:val="004A2D9C"/>
    <w:rsid w:val="004A6890"/>
    <w:rsid w:val="004B6AA2"/>
    <w:rsid w:val="004C4B9D"/>
    <w:rsid w:val="004D6B0B"/>
    <w:rsid w:val="004E59B0"/>
    <w:rsid w:val="004F3EB0"/>
    <w:rsid w:val="004F6CE2"/>
    <w:rsid w:val="005224CF"/>
    <w:rsid w:val="0052475D"/>
    <w:rsid w:val="00536A7D"/>
    <w:rsid w:val="00540573"/>
    <w:rsid w:val="00545F99"/>
    <w:rsid w:val="00550AFA"/>
    <w:rsid w:val="00553BBC"/>
    <w:rsid w:val="005601E7"/>
    <w:rsid w:val="00565B54"/>
    <w:rsid w:val="005767F2"/>
    <w:rsid w:val="005779B1"/>
    <w:rsid w:val="00590B48"/>
    <w:rsid w:val="0059288A"/>
    <w:rsid w:val="0059722E"/>
    <w:rsid w:val="005A5331"/>
    <w:rsid w:val="005C66AC"/>
    <w:rsid w:val="005C6F17"/>
    <w:rsid w:val="005C794E"/>
    <w:rsid w:val="005E50C3"/>
    <w:rsid w:val="005F22C5"/>
    <w:rsid w:val="006065FF"/>
    <w:rsid w:val="0063109C"/>
    <w:rsid w:val="006336A6"/>
    <w:rsid w:val="006351FD"/>
    <w:rsid w:val="006354F5"/>
    <w:rsid w:val="00640A8F"/>
    <w:rsid w:val="00646646"/>
    <w:rsid w:val="00667774"/>
    <w:rsid w:val="006743B3"/>
    <w:rsid w:val="006814A1"/>
    <w:rsid w:val="00682D17"/>
    <w:rsid w:val="006848D2"/>
    <w:rsid w:val="00693C36"/>
    <w:rsid w:val="00696A82"/>
    <w:rsid w:val="006A4FF0"/>
    <w:rsid w:val="006B288F"/>
    <w:rsid w:val="006C4B6B"/>
    <w:rsid w:val="006E0343"/>
    <w:rsid w:val="006E2113"/>
    <w:rsid w:val="006E507C"/>
    <w:rsid w:val="006E699F"/>
    <w:rsid w:val="006F01E6"/>
    <w:rsid w:val="006F087D"/>
    <w:rsid w:val="00710971"/>
    <w:rsid w:val="007121FA"/>
    <w:rsid w:val="00715D34"/>
    <w:rsid w:val="00717750"/>
    <w:rsid w:val="00730999"/>
    <w:rsid w:val="00743545"/>
    <w:rsid w:val="0075220D"/>
    <w:rsid w:val="007536AD"/>
    <w:rsid w:val="00761B2D"/>
    <w:rsid w:val="00763EA7"/>
    <w:rsid w:val="00764DDF"/>
    <w:rsid w:val="0076592A"/>
    <w:rsid w:val="00775D18"/>
    <w:rsid w:val="00781847"/>
    <w:rsid w:val="00784A14"/>
    <w:rsid w:val="007A293A"/>
    <w:rsid w:val="007C1849"/>
    <w:rsid w:val="007C792B"/>
    <w:rsid w:val="007D4EFA"/>
    <w:rsid w:val="007E2461"/>
    <w:rsid w:val="007E41EE"/>
    <w:rsid w:val="007E74A6"/>
    <w:rsid w:val="007F673A"/>
    <w:rsid w:val="00801B12"/>
    <w:rsid w:val="00801B4E"/>
    <w:rsid w:val="00804431"/>
    <w:rsid w:val="00806F1D"/>
    <w:rsid w:val="00810EA5"/>
    <w:rsid w:val="00817825"/>
    <w:rsid w:val="00817F5E"/>
    <w:rsid w:val="008259A2"/>
    <w:rsid w:val="00830AA0"/>
    <w:rsid w:val="00833880"/>
    <w:rsid w:val="008637CF"/>
    <w:rsid w:val="0087398A"/>
    <w:rsid w:val="00876B50"/>
    <w:rsid w:val="00895D18"/>
    <w:rsid w:val="008A3224"/>
    <w:rsid w:val="008A7F6C"/>
    <w:rsid w:val="008C68CC"/>
    <w:rsid w:val="008D571C"/>
    <w:rsid w:val="008D648B"/>
    <w:rsid w:val="008E7F86"/>
    <w:rsid w:val="008F30ED"/>
    <w:rsid w:val="009030EC"/>
    <w:rsid w:val="009054C2"/>
    <w:rsid w:val="0090622E"/>
    <w:rsid w:val="00920EBF"/>
    <w:rsid w:val="00934E50"/>
    <w:rsid w:val="00946075"/>
    <w:rsid w:val="00956E91"/>
    <w:rsid w:val="00974026"/>
    <w:rsid w:val="00984D6D"/>
    <w:rsid w:val="009B505B"/>
    <w:rsid w:val="009B6523"/>
    <w:rsid w:val="009C14BB"/>
    <w:rsid w:val="009C234C"/>
    <w:rsid w:val="009D0311"/>
    <w:rsid w:val="009D7D21"/>
    <w:rsid w:val="009E1139"/>
    <w:rsid w:val="009F0F84"/>
    <w:rsid w:val="009F77D4"/>
    <w:rsid w:val="00A04394"/>
    <w:rsid w:val="00A07333"/>
    <w:rsid w:val="00A268CC"/>
    <w:rsid w:val="00A33770"/>
    <w:rsid w:val="00A33F36"/>
    <w:rsid w:val="00A52C0A"/>
    <w:rsid w:val="00A743EF"/>
    <w:rsid w:val="00A8357B"/>
    <w:rsid w:val="00A858C0"/>
    <w:rsid w:val="00A85FBB"/>
    <w:rsid w:val="00A86DDA"/>
    <w:rsid w:val="00AA56B2"/>
    <w:rsid w:val="00AB4BF9"/>
    <w:rsid w:val="00AD2267"/>
    <w:rsid w:val="00AE13F6"/>
    <w:rsid w:val="00AF3801"/>
    <w:rsid w:val="00AF3820"/>
    <w:rsid w:val="00B04844"/>
    <w:rsid w:val="00B53304"/>
    <w:rsid w:val="00B65936"/>
    <w:rsid w:val="00B81E0E"/>
    <w:rsid w:val="00B831D4"/>
    <w:rsid w:val="00B8578F"/>
    <w:rsid w:val="00BC25FD"/>
    <w:rsid w:val="00BC3B2D"/>
    <w:rsid w:val="00BC4A0F"/>
    <w:rsid w:val="00BC4DCB"/>
    <w:rsid w:val="00BE2BF6"/>
    <w:rsid w:val="00BE6073"/>
    <w:rsid w:val="00BE7150"/>
    <w:rsid w:val="00BF01AA"/>
    <w:rsid w:val="00C0076A"/>
    <w:rsid w:val="00C04988"/>
    <w:rsid w:val="00C04D97"/>
    <w:rsid w:val="00C11F6C"/>
    <w:rsid w:val="00C12D32"/>
    <w:rsid w:val="00C1316E"/>
    <w:rsid w:val="00C25216"/>
    <w:rsid w:val="00C31A25"/>
    <w:rsid w:val="00C361D8"/>
    <w:rsid w:val="00C402EF"/>
    <w:rsid w:val="00C54B87"/>
    <w:rsid w:val="00C54CC5"/>
    <w:rsid w:val="00C54E9D"/>
    <w:rsid w:val="00C756CA"/>
    <w:rsid w:val="00C772C9"/>
    <w:rsid w:val="00C83160"/>
    <w:rsid w:val="00C84EBA"/>
    <w:rsid w:val="00C85C5F"/>
    <w:rsid w:val="00C921C3"/>
    <w:rsid w:val="00C92273"/>
    <w:rsid w:val="00CA3C09"/>
    <w:rsid w:val="00CA6FBF"/>
    <w:rsid w:val="00CA7863"/>
    <w:rsid w:val="00CB1AAB"/>
    <w:rsid w:val="00CB5F09"/>
    <w:rsid w:val="00CC43C4"/>
    <w:rsid w:val="00CD0F3A"/>
    <w:rsid w:val="00CD6C5E"/>
    <w:rsid w:val="00CE38D2"/>
    <w:rsid w:val="00CF0B66"/>
    <w:rsid w:val="00CF217E"/>
    <w:rsid w:val="00CF5BFB"/>
    <w:rsid w:val="00CF7257"/>
    <w:rsid w:val="00D36EB3"/>
    <w:rsid w:val="00D4254C"/>
    <w:rsid w:val="00D51082"/>
    <w:rsid w:val="00D64180"/>
    <w:rsid w:val="00D725F9"/>
    <w:rsid w:val="00D7331D"/>
    <w:rsid w:val="00D771DA"/>
    <w:rsid w:val="00D82368"/>
    <w:rsid w:val="00D86697"/>
    <w:rsid w:val="00D91460"/>
    <w:rsid w:val="00D96CA0"/>
    <w:rsid w:val="00DC6E2F"/>
    <w:rsid w:val="00DE31C3"/>
    <w:rsid w:val="00E0087A"/>
    <w:rsid w:val="00E05811"/>
    <w:rsid w:val="00E07054"/>
    <w:rsid w:val="00E12B52"/>
    <w:rsid w:val="00E13549"/>
    <w:rsid w:val="00E20018"/>
    <w:rsid w:val="00E407B2"/>
    <w:rsid w:val="00E4364B"/>
    <w:rsid w:val="00E45035"/>
    <w:rsid w:val="00E548E7"/>
    <w:rsid w:val="00E61924"/>
    <w:rsid w:val="00E619DC"/>
    <w:rsid w:val="00E84722"/>
    <w:rsid w:val="00E859C6"/>
    <w:rsid w:val="00E879FF"/>
    <w:rsid w:val="00EA2667"/>
    <w:rsid w:val="00EA2801"/>
    <w:rsid w:val="00EA7598"/>
    <w:rsid w:val="00EB0932"/>
    <w:rsid w:val="00EB4CA0"/>
    <w:rsid w:val="00EE214F"/>
    <w:rsid w:val="00EF6DEE"/>
    <w:rsid w:val="00F07AA8"/>
    <w:rsid w:val="00F14CEC"/>
    <w:rsid w:val="00F16F9B"/>
    <w:rsid w:val="00F27964"/>
    <w:rsid w:val="00F457A6"/>
    <w:rsid w:val="00F66AAC"/>
    <w:rsid w:val="00F9079B"/>
    <w:rsid w:val="00FB0089"/>
    <w:rsid w:val="00FB1BBA"/>
    <w:rsid w:val="00FC6137"/>
    <w:rsid w:val="00FD5B3E"/>
    <w:rsid w:val="00FE477B"/>
    <w:rsid w:val="00FF3CB5"/>
    <w:rsid w:val="00FF5696"/>
    <w:rsid w:val="00FF7650"/>
    <w:rsid w:val="0A44754B"/>
    <w:rsid w:val="25491234"/>
    <w:rsid w:val="72E2C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2D0E0"/>
  <w15:docId w15:val="{156D751C-259E-4803-BD40-B2D8F7C9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E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09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6096C"/>
  </w:style>
  <w:style w:type="paragraph" w:styleId="3">
    <w:name w:val="Body Text 3"/>
    <w:basedOn w:val="a"/>
    <w:rsid w:val="0006096C"/>
    <w:rPr>
      <w:b/>
      <w:szCs w:val="20"/>
      <w:u w:val="single"/>
      <w:lang w:val="hu-HU" w:eastAsia="hu-HU"/>
    </w:rPr>
  </w:style>
  <w:style w:type="paragraph" w:styleId="2">
    <w:name w:val="Body Text 2"/>
    <w:basedOn w:val="a"/>
    <w:link w:val="20"/>
    <w:rsid w:val="00984D6D"/>
    <w:pPr>
      <w:spacing w:after="120" w:line="480" w:lineRule="auto"/>
    </w:pPr>
  </w:style>
  <w:style w:type="character" w:customStyle="1" w:styleId="20">
    <w:name w:val="Основний текст 2 Знак"/>
    <w:link w:val="2"/>
    <w:rsid w:val="00984D6D"/>
    <w:rPr>
      <w:sz w:val="24"/>
      <w:szCs w:val="24"/>
      <w:lang w:val="uk-UA"/>
    </w:rPr>
  </w:style>
  <w:style w:type="paragraph" w:styleId="21">
    <w:name w:val="Body Text Indent 2"/>
    <w:basedOn w:val="a"/>
    <w:rsid w:val="00696A82"/>
    <w:pPr>
      <w:spacing w:after="120" w:line="480" w:lineRule="auto"/>
      <w:ind w:left="283"/>
    </w:pPr>
  </w:style>
  <w:style w:type="paragraph" w:styleId="a5">
    <w:name w:val="Body Text Indent"/>
    <w:basedOn w:val="a"/>
    <w:link w:val="a6"/>
    <w:uiPriority w:val="99"/>
    <w:semiHidden/>
    <w:unhideWhenUsed/>
    <w:rsid w:val="0035049A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rsid w:val="0035049A"/>
    <w:rPr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12B5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E12B52"/>
    <w:rPr>
      <w:rFonts w:ascii="Tahoma" w:hAnsi="Tahoma" w:cs="Tahoma"/>
      <w:sz w:val="16"/>
      <w:szCs w:val="16"/>
      <w:lang w:val="uk-UA"/>
    </w:rPr>
  </w:style>
  <w:style w:type="paragraph" w:customStyle="1" w:styleId="Standard">
    <w:name w:val="Standard"/>
    <w:rsid w:val="00CB5F09"/>
    <w:rPr>
      <w:rFonts w:ascii="Arial" w:hAnsi="Arial"/>
      <w:snapToGrid w:val="0"/>
      <w:sz w:val="24"/>
      <w:lang w:val="ru-RU" w:eastAsia="ru-RU"/>
    </w:rPr>
  </w:style>
  <w:style w:type="paragraph" w:customStyle="1" w:styleId="30">
    <w:name w:val="Знак Знак3"/>
    <w:basedOn w:val="a"/>
    <w:rsid w:val="00C85C5F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775D18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"/>
    <w:basedOn w:val="a"/>
    <w:rsid w:val="00EA2667"/>
    <w:rPr>
      <w:rFonts w:ascii="Verdana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D771DA"/>
    <w:pPr>
      <w:pBdr>
        <w:top w:val="nil"/>
        <w:left w:val="nil"/>
        <w:bottom w:val="nil"/>
        <w:right w:val="nil"/>
        <w:between w:val="nil"/>
      </w:pBdr>
      <w:tabs>
        <w:tab w:val="left" w:pos="567"/>
      </w:tabs>
    </w:pPr>
    <w:rPr>
      <w:color w:val="000000"/>
      <w:sz w:val="22"/>
      <w:szCs w:val="22"/>
      <w:lang w:val="en-US" w:eastAsia="fr-FR"/>
    </w:rPr>
  </w:style>
  <w:style w:type="paragraph" w:customStyle="1" w:styleId="aa">
    <w:name w:val="Вміст таблиці"/>
    <w:basedOn w:val="a"/>
    <w:rsid w:val="003E7254"/>
    <w:pPr>
      <w:suppressLineNumbers/>
      <w:suppressAutoHyphens/>
    </w:pPr>
    <w:rPr>
      <w:lang w:val="ru-RU" w:eastAsia="ar-SA"/>
    </w:r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ітки Знак"/>
    <w:link w:val="ab"/>
    <w:uiPriority w:val="99"/>
    <w:semiHidden/>
    <w:rPr>
      <w:lang w:val="uk-UA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Revision"/>
    <w:hidden/>
    <w:uiPriority w:val="99"/>
    <w:semiHidden/>
    <w:rsid w:val="00C0076A"/>
    <w:rPr>
      <w:sz w:val="24"/>
      <w:szCs w:val="24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5C6F17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5C6F17"/>
    <w:rPr>
      <w:b/>
      <w:bCs/>
      <w:lang w:val="uk-UA"/>
    </w:rPr>
  </w:style>
  <w:style w:type="character" w:styleId="af1">
    <w:name w:val="Emphasis"/>
    <w:uiPriority w:val="20"/>
    <w:qFormat/>
    <w:rsid w:val="00761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10575</Words>
  <Characters>6028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Ceva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A.Starovir</dc:creator>
  <cp:keywords/>
  <dc:description/>
  <cp:lastModifiedBy>admin</cp:lastModifiedBy>
  <cp:revision>44</cp:revision>
  <cp:lastPrinted>2019-07-01T09:11:00Z</cp:lastPrinted>
  <dcterms:created xsi:type="dcterms:W3CDTF">2024-01-19T14:39:00Z</dcterms:created>
  <dcterms:modified xsi:type="dcterms:W3CDTF">2024-10-16T12:15:00Z</dcterms:modified>
</cp:coreProperties>
</file>