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56" w:rsidRPr="00C4151D" w:rsidRDefault="00872356" w:rsidP="00C4151D">
      <w:pPr>
        <w:spacing w:after="0"/>
        <w:jc w:val="right"/>
        <w:rPr>
          <w:rFonts w:ascii="Times New Roman" w:hAnsi="Times New Roman"/>
          <w:sz w:val="24"/>
          <w:szCs w:val="24"/>
          <w:lang w:val="uk-UA"/>
        </w:rPr>
      </w:pPr>
      <w:r w:rsidRPr="00C4151D">
        <w:rPr>
          <w:rFonts w:ascii="Times New Roman" w:hAnsi="Times New Roman"/>
          <w:sz w:val="24"/>
          <w:szCs w:val="24"/>
          <w:lang w:val="uk-UA"/>
        </w:rPr>
        <w:t>Додаток 2</w:t>
      </w:r>
    </w:p>
    <w:p w:rsidR="00872356" w:rsidRPr="00C4151D" w:rsidRDefault="00872356" w:rsidP="00C4151D">
      <w:pPr>
        <w:spacing w:after="0"/>
        <w:jc w:val="right"/>
        <w:rPr>
          <w:rFonts w:ascii="Times New Roman" w:hAnsi="Times New Roman"/>
          <w:sz w:val="24"/>
          <w:szCs w:val="24"/>
          <w:lang w:val="uk-UA"/>
        </w:rPr>
      </w:pPr>
      <w:r w:rsidRPr="00C4151D">
        <w:rPr>
          <w:rFonts w:ascii="Times New Roman" w:hAnsi="Times New Roman"/>
          <w:sz w:val="24"/>
          <w:szCs w:val="24"/>
          <w:lang w:val="uk-UA"/>
        </w:rPr>
        <w:t xml:space="preserve">до реєстраційного посвідчення </w:t>
      </w:r>
    </w:p>
    <w:p w:rsidR="00872356" w:rsidRDefault="00872356" w:rsidP="00C4151D">
      <w:pPr>
        <w:spacing w:after="0"/>
        <w:jc w:val="right"/>
        <w:rPr>
          <w:rFonts w:ascii="Times New Roman" w:hAnsi="Times New Roman"/>
          <w:lang w:val="uk-UA"/>
        </w:rPr>
      </w:pPr>
    </w:p>
    <w:p w:rsidR="00872356" w:rsidRPr="00C4151D" w:rsidRDefault="00872356" w:rsidP="00C4151D">
      <w:pPr>
        <w:spacing w:after="0"/>
        <w:jc w:val="center"/>
        <w:rPr>
          <w:rFonts w:ascii="Times New Roman" w:hAnsi="Times New Roman"/>
          <w:b/>
          <w:bCs/>
          <w:sz w:val="24"/>
          <w:szCs w:val="24"/>
          <w:lang w:val="uk-UA"/>
        </w:rPr>
      </w:pPr>
      <w:r w:rsidRPr="00C4151D">
        <w:rPr>
          <w:rFonts w:ascii="Times New Roman" w:hAnsi="Times New Roman"/>
          <w:b/>
          <w:bCs/>
          <w:sz w:val="24"/>
          <w:szCs w:val="24"/>
          <w:lang w:val="uk-UA"/>
        </w:rPr>
        <w:t xml:space="preserve">Веторил </w:t>
      </w:r>
      <w:r>
        <w:rPr>
          <w:rFonts w:ascii="Times New Roman" w:hAnsi="Times New Roman"/>
          <w:b/>
          <w:bCs/>
          <w:sz w:val="24"/>
          <w:szCs w:val="24"/>
          <w:lang w:val="uk-UA"/>
        </w:rPr>
        <w:t>6</w:t>
      </w:r>
      <w:r w:rsidRPr="00C4151D">
        <w:rPr>
          <w:rFonts w:ascii="Times New Roman" w:hAnsi="Times New Roman"/>
          <w:b/>
          <w:bCs/>
          <w:sz w:val="24"/>
          <w:szCs w:val="24"/>
          <w:lang w:val="uk-UA"/>
        </w:rPr>
        <w:t xml:space="preserve">0 мг </w:t>
      </w:r>
    </w:p>
    <w:p w:rsidR="00872356" w:rsidRPr="00C4151D" w:rsidRDefault="00872356" w:rsidP="00C4151D">
      <w:pPr>
        <w:spacing w:after="0"/>
        <w:jc w:val="center"/>
        <w:rPr>
          <w:rFonts w:ascii="Times New Roman" w:hAnsi="Times New Roman"/>
          <w:b/>
          <w:bCs/>
          <w:sz w:val="24"/>
          <w:szCs w:val="24"/>
          <w:lang w:val="uk-UA"/>
        </w:rPr>
      </w:pPr>
      <w:r w:rsidRPr="00C4151D">
        <w:rPr>
          <w:rFonts w:ascii="Times New Roman" w:hAnsi="Times New Roman"/>
          <w:b/>
          <w:bCs/>
          <w:sz w:val="24"/>
          <w:szCs w:val="24"/>
          <w:lang w:val="uk-UA"/>
        </w:rPr>
        <w:t>(капсули тверді)</w:t>
      </w:r>
    </w:p>
    <w:p w:rsidR="00872356" w:rsidRPr="00C4151D" w:rsidRDefault="00872356" w:rsidP="00C4151D">
      <w:pPr>
        <w:spacing w:after="0"/>
        <w:jc w:val="center"/>
        <w:rPr>
          <w:rFonts w:ascii="Times New Roman" w:hAnsi="Times New Roman"/>
          <w:sz w:val="24"/>
          <w:szCs w:val="24"/>
          <w:lang w:val="uk-UA"/>
        </w:rPr>
      </w:pPr>
      <w:r w:rsidRPr="00C4151D">
        <w:rPr>
          <w:rFonts w:ascii="Times New Roman" w:hAnsi="Times New Roman"/>
          <w:sz w:val="24"/>
          <w:szCs w:val="24"/>
          <w:lang w:val="uk-UA"/>
        </w:rPr>
        <w:t>листівка – вкладка</w:t>
      </w:r>
    </w:p>
    <w:p w:rsidR="00872356" w:rsidRDefault="00872356" w:rsidP="00C4151D">
      <w:pPr>
        <w:spacing w:after="0"/>
        <w:rPr>
          <w:rFonts w:ascii="Times New Roman" w:hAnsi="Times New Roman"/>
          <w:b/>
          <w:bCs/>
          <w:sz w:val="24"/>
          <w:szCs w:val="24"/>
          <w:lang w:val="uk-UA"/>
        </w:rPr>
      </w:pPr>
    </w:p>
    <w:p w:rsidR="00872356" w:rsidRPr="00C4151D" w:rsidRDefault="00872356" w:rsidP="00C4151D">
      <w:pPr>
        <w:spacing w:after="0"/>
        <w:rPr>
          <w:rFonts w:ascii="Times New Roman" w:hAnsi="Times New Roman"/>
          <w:b/>
          <w:bCs/>
          <w:sz w:val="24"/>
          <w:szCs w:val="24"/>
          <w:lang w:val="uk-UA"/>
        </w:rPr>
      </w:pPr>
      <w:r w:rsidRPr="00C4151D">
        <w:rPr>
          <w:rFonts w:ascii="Times New Roman" w:hAnsi="Times New Roman"/>
          <w:b/>
          <w:bCs/>
          <w:sz w:val="24"/>
          <w:szCs w:val="24"/>
          <w:lang w:val="uk-UA"/>
        </w:rPr>
        <w:t>Опис</w:t>
      </w:r>
    </w:p>
    <w:p w:rsidR="00872356" w:rsidRPr="00C4151D" w:rsidRDefault="00872356" w:rsidP="00C4151D">
      <w:pPr>
        <w:spacing w:after="0"/>
        <w:rPr>
          <w:rFonts w:ascii="Times New Roman" w:hAnsi="Times New Roman"/>
          <w:sz w:val="24"/>
          <w:szCs w:val="24"/>
          <w:lang w:val="uk-UA"/>
        </w:rPr>
      </w:pPr>
      <w:r w:rsidRPr="00C4151D">
        <w:rPr>
          <w:rFonts w:ascii="Times New Roman" w:hAnsi="Times New Roman"/>
          <w:sz w:val="24"/>
          <w:szCs w:val="24"/>
          <w:lang w:val="uk-UA"/>
        </w:rPr>
        <w:t>Тверді желатинові капсули кольору слонової кістки</w:t>
      </w:r>
      <w:r>
        <w:rPr>
          <w:rFonts w:ascii="Times New Roman" w:hAnsi="Times New Roman"/>
          <w:sz w:val="24"/>
          <w:szCs w:val="24"/>
          <w:lang w:val="uk-UA"/>
        </w:rPr>
        <w:t>.</w:t>
      </w:r>
    </w:p>
    <w:p w:rsidR="00872356" w:rsidRPr="00C4151D" w:rsidRDefault="00872356" w:rsidP="00C4151D">
      <w:pPr>
        <w:spacing w:after="0"/>
        <w:rPr>
          <w:rFonts w:ascii="Times New Roman" w:hAnsi="Times New Roman"/>
          <w:b/>
          <w:bCs/>
          <w:sz w:val="24"/>
          <w:szCs w:val="24"/>
          <w:lang w:val="uk-UA"/>
        </w:rPr>
      </w:pPr>
      <w:r w:rsidRPr="00C4151D">
        <w:rPr>
          <w:rFonts w:ascii="Times New Roman" w:hAnsi="Times New Roman"/>
          <w:b/>
          <w:bCs/>
          <w:sz w:val="24"/>
          <w:szCs w:val="24"/>
          <w:lang w:val="uk-UA"/>
        </w:rPr>
        <w:t>Склад</w:t>
      </w:r>
    </w:p>
    <w:p w:rsidR="00872356" w:rsidRPr="00C4151D" w:rsidRDefault="00872356" w:rsidP="00C4151D">
      <w:pPr>
        <w:spacing w:after="0"/>
        <w:rPr>
          <w:rFonts w:ascii="Times New Roman" w:hAnsi="Times New Roman"/>
          <w:sz w:val="24"/>
          <w:szCs w:val="24"/>
          <w:lang w:val="uk-UA"/>
        </w:rPr>
      </w:pPr>
      <w:r w:rsidRPr="00C4151D">
        <w:rPr>
          <w:rFonts w:ascii="Times New Roman" w:hAnsi="Times New Roman"/>
          <w:sz w:val="24"/>
          <w:szCs w:val="24"/>
          <w:lang w:val="uk-UA"/>
        </w:rPr>
        <w:t>Одна капсула містить діючу речовину:</w:t>
      </w:r>
    </w:p>
    <w:p w:rsidR="00872356" w:rsidRPr="00C4151D" w:rsidRDefault="00872356" w:rsidP="00C4151D">
      <w:pPr>
        <w:spacing w:after="0"/>
        <w:rPr>
          <w:rFonts w:ascii="Times New Roman" w:hAnsi="Times New Roman"/>
          <w:sz w:val="24"/>
          <w:szCs w:val="24"/>
          <w:lang w:val="uk-UA"/>
        </w:rPr>
      </w:pPr>
      <w:r w:rsidRPr="00C4151D">
        <w:rPr>
          <w:rFonts w:ascii="Times New Roman" w:hAnsi="Times New Roman"/>
          <w:sz w:val="24"/>
          <w:szCs w:val="24"/>
          <w:lang w:val="uk-UA"/>
        </w:rPr>
        <w:t xml:space="preserve">трілостан </w:t>
      </w:r>
      <w:r>
        <w:rPr>
          <w:rFonts w:ascii="Times New Roman" w:hAnsi="Times New Roman"/>
          <w:sz w:val="24"/>
          <w:szCs w:val="24"/>
          <w:lang w:val="uk-UA"/>
        </w:rPr>
        <w:t>–</w:t>
      </w:r>
      <w:r w:rsidRPr="00C4151D">
        <w:rPr>
          <w:rFonts w:ascii="Times New Roman" w:hAnsi="Times New Roman"/>
          <w:sz w:val="24"/>
          <w:szCs w:val="24"/>
          <w:lang w:val="uk-UA"/>
        </w:rPr>
        <w:t xml:space="preserve"> </w:t>
      </w:r>
      <w:r>
        <w:rPr>
          <w:rFonts w:ascii="Times New Roman" w:hAnsi="Times New Roman"/>
          <w:sz w:val="24"/>
          <w:szCs w:val="24"/>
          <w:lang w:val="uk-UA"/>
        </w:rPr>
        <w:t>6</w:t>
      </w:r>
      <w:r w:rsidRPr="00C4151D">
        <w:rPr>
          <w:rFonts w:ascii="Times New Roman" w:hAnsi="Times New Roman"/>
          <w:sz w:val="24"/>
          <w:szCs w:val="24"/>
          <w:lang w:val="uk-UA"/>
        </w:rPr>
        <w:t>0</w:t>
      </w:r>
      <w:r>
        <w:rPr>
          <w:rFonts w:ascii="Times New Roman" w:hAnsi="Times New Roman"/>
          <w:sz w:val="24"/>
          <w:szCs w:val="24"/>
          <w:lang w:val="uk-UA"/>
        </w:rPr>
        <w:t>,0</w:t>
      </w:r>
      <w:r w:rsidRPr="00C4151D">
        <w:rPr>
          <w:rFonts w:ascii="Times New Roman" w:hAnsi="Times New Roman"/>
          <w:sz w:val="24"/>
          <w:szCs w:val="24"/>
          <w:lang w:val="uk-UA"/>
        </w:rPr>
        <w:t xml:space="preserve"> мг.</w:t>
      </w:r>
    </w:p>
    <w:p w:rsidR="00872356" w:rsidRPr="00053A5D" w:rsidRDefault="00872356" w:rsidP="00C4151D">
      <w:pPr>
        <w:pStyle w:val="ListParagraph"/>
        <w:spacing w:after="0"/>
        <w:ind w:left="0"/>
        <w:jc w:val="both"/>
        <w:rPr>
          <w:rFonts w:ascii="Times New Roman" w:hAnsi="Times New Roman"/>
          <w:sz w:val="24"/>
          <w:szCs w:val="24"/>
          <w:lang w:val="uk-UA"/>
        </w:rPr>
      </w:pPr>
      <w:r w:rsidRPr="00C4151D">
        <w:rPr>
          <w:rFonts w:ascii="Times New Roman" w:hAnsi="Times New Roman"/>
          <w:sz w:val="24"/>
          <w:szCs w:val="24"/>
          <w:lang w:val="uk-UA"/>
        </w:rPr>
        <w:t xml:space="preserve">Допоміжні речовини: діоксид титану (Е171) </w:t>
      </w:r>
      <w:r w:rsidRPr="007850D7">
        <w:rPr>
          <w:rFonts w:ascii="Times New Roman" w:hAnsi="Times New Roman"/>
          <w:strike/>
          <w:sz w:val="24"/>
          <w:szCs w:val="24"/>
          <w:highlight w:val="yellow"/>
          <w:lang w:val="uk-UA"/>
        </w:rPr>
        <w:t>1,19 мг</w:t>
      </w:r>
      <w:r w:rsidRPr="00C4151D">
        <w:rPr>
          <w:rFonts w:ascii="Times New Roman" w:hAnsi="Times New Roman"/>
          <w:sz w:val="24"/>
          <w:szCs w:val="24"/>
          <w:lang w:val="uk-UA"/>
        </w:rPr>
        <w:t xml:space="preserve">, жовтий оксид заліза (Е172) </w:t>
      </w:r>
      <w:r w:rsidRPr="007850D7">
        <w:rPr>
          <w:rFonts w:ascii="Times New Roman" w:hAnsi="Times New Roman"/>
          <w:strike/>
          <w:sz w:val="24"/>
          <w:szCs w:val="24"/>
          <w:highlight w:val="yellow"/>
          <w:lang w:val="uk-UA"/>
        </w:rPr>
        <w:t>0,045 мг</w:t>
      </w:r>
      <w:r w:rsidRPr="00C4151D">
        <w:rPr>
          <w:rFonts w:ascii="Times New Roman" w:hAnsi="Times New Roman"/>
          <w:sz w:val="24"/>
          <w:szCs w:val="24"/>
          <w:lang w:val="uk-UA"/>
        </w:rPr>
        <w:t xml:space="preserve">, чорний оксид заліза (Е172) </w:t>
      </w:r>
      <w:r w:rsidRPr="007850D7">
        <w:rPr>
          <w:rFonts w:ascii="Times New Roman" w:hAnsi="Times New Roman"/>
          <w:strike/>
          <w:sz w:val="24"/>
          <w:szCs w:val="24"/>
          <w:highlight w:val="yellow"/>
          <w:lang w:val="uk-UA"/>
        </w:rPr>
        <w:t>0,672 мг</w:t>
      </w:r>
      <w:r w:rsidRPr="00C4151D">
        <w:rPr>
          <w:rFonts w:ascii="Times New Roman" w:hAnsi="Times New Roman"/>
          <w:sz w:val="24"/>
          <w:szCs w:val="24"/>
          <w:lang w:val="uk-UA"/>
        </w:rPr>
        <w:t>, маїсовий крохмаль, лактози моногідрат, магнію стеарат, глутин.</w:t>
      </w:r>
    </w:p>
    <w:p w:rsidR="00872356" w:rsidRDefault="00872356" w:rsidP="00C4151D">
      <w:pPr>
        <w:pStyle w:val="ListParagraph"/>
        <w:spacing w:after="0"/>
        <w:ind w:left="0"/>
        <w:jc w:val="both"/>
        <w:rPr>
          <w:rFonts w:ascii="Times New Roman" w:hAnsi="Times New Roman"/>
          <w:b/>
          <w:sz w:val="24"/>
          <w:szCs w:val="24"/>
          <w:lang w:val="uk-UA"/>
        </w:rPr>
      </w:pPr>
      <w:r w:rsidRPr="008D3538">
        <w:rPr>
          <w:rFonts w:ascii="Times New Roman" w:hAnsi="Times New Roman"/>
          <w:b/>
          <w:sz w:val="24"/>
          <w:szCs w:val="24"/>
          <w:lang w:val="uk-UA"/>
        </w:rPr>
        <w:t>Фармакологічні властивості</w:t>
      </w:r>
    </w:p>
    <w:p w:rsidR="00872356" w:rsidRPr="008D3538" w:rsidRDefault="00872356"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Фармакотерапевтична група: антиадренальні препарати.</w:t>
      </w:r>
    </w:p>
    <w:p w:rsidR="00872356" w:rsidRPr="008D3538" w:rsidRDefault="00872356"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АТС</w:t>
      </w:r>
      <w:r w:rsidRPr="008D3538">
        <w:rPr>
          <w:rFonts w:ascii="Times New Roman" w:hAnsi="Times New Roman"/>
          <w:sz w:val="24"/>
          <w:szCs w:val="24"/>
          <w:lang w:val="en-US"/>
        </w:rPr>
        <w:t>vet</w:t>
      </w:r>
      <w:r w:rsidRPr="008D3538">
        <w:rPr>
          <w:rFonts w:ascii="Times New Roman" w:hAnsi="Times New Roman"/>
          <w:sz w:val="24"/>
          <w:szCs w:val="24"/>
          <w:lang w:val="uk-UA"/>
        </w:rPr>
        <w:t xml:space="preserve"> код: </w:t>
      </w:r>
      <w:r w:rsidRPr="008D3538">
        <w:rPr>
          <w:rFonts w:ascii="Times New Roman" w:hAnsi="Times New Roman"/>
          <w:sz w:val="24"/>
          <w:szCs w:val="24"/>
          <w:lang w:val="en-US"/>
        </w:rPr>
        <w:t>QH</w:t>
      </w:r>
      <w:r w:rsidRPr="00053A5D">
        <w:rPr>
          <w:rFonts w:ascii="Times New Roman" w:hAnsi="Times New Roman"/>
          <w:sz w:val="24"/>
          <w:szCs w:val="24"/>
          <w:lang w:val="uk-UA"/>
        </w:rPr>
        <w:t>02</w:t>
      </w:r>
      <w:r w:rsidRPr="008D3538">
        <w:rPr>
          <w:rFonts w:ascii="Times New Roman" w:hAnsi="Times New Roman"/>
          <w:sz w:val="24"/>
          <w:szCs w:val="24"/>
          <w:lang w:val="en-US"/>
        </w:rPr>
        <w:t>CA</w:t>
      </w:r>
      <w:r w:rsidRPr="00053A5D">
        <w:rPr>
          <w:rFonts w:ascii="Times New Roman" w:hAnsi="Times New Roman"/>
          <w:sz w:val="24"/>
          <w:szCs w:val="24"/>
          <w:lang w:val="uk-UA"/>
        </w:rPr>
        <w:t xml:space="preserve">01 </w:t>
      </w:r>
      <w:r w:rsidRPr="008D3538">
        <w:rPr>
          <w:rFonts w:ascii="Times New Roman" w:hAnsi="Times New Roman"/>
          <w:sz w:val="24"/>
          <w:szCs w:val="24"/>
          <w:lang w:val="uk-UA"/>
        </w:rPr>
        <w:t>трілостан.</w:t>
      </w:r>
    </w:p>
    <w:p w:rsidR="00872356" w:rsidRDefault="00872356" w:rsidP="00C4151D">
      <w:pPr>
        <w:pStyle w:val="ListParagraph"/>
        <w:spacing w:after="0"/>
        <w:ind w:left="0"/>
        <w:jc w:val="both"/>
        <w:rPr>
          <w:rFonts w:ascii="Times New Roman" w:hAnsi="Times New Roman"/>
          <w:b/>
          <w:sz w:val="24"/>
          <w:szCs w:val="24"/>
          <w:lang w:val="uk-UA"/>
        </w:rPr>
      </w:pPr>
      <w:r>
        <w:rPr>
          <w:rFonts w:ascii="Times New Roman" w:hAnsi="Times New Roman"/>
          <w:b/>
          <w:sz w:val="24"/>
          <w:szCs w:val="24"/>
          <w:lang w:val="uk-UA"/>
        </w:rPr>
        <w:t>Фармакодинамічні властивості</w:t>
      </w:r>
    </w:p>
    <w:p w:rsidR="00872356" w:rsidRPr="008D3538" w:rsidRDefault="00872356"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Трілостан, вибірково та реверсивно, пригнічує ферментну систему 3 бета гідроксисиероїд  ізомераза, тим самим, блокуючі вироблення кортизолу, кортикостерону та альдостерону. При лікуванні гіперадренокортицизму, трілостан зменшує вироблення гдюкокортикоїдних та мінералокортикоїдних стероїдів в корі наднирників. Таким чином, циркулююча концентрація цих стероїдів знижується. Трілостан також пригнічує дію екзогенного адренокортикотропного гормону (АТСН) та не має прямого впливу ні на центральну нервову систему, ні на серцево – судинну систему.</w:t>
      </w:r>
    </w:p>
    <w:p w:rsidR="00872356" w:rsidRPr="008D3538" w:rsidRDefault="00872356" w:rsidP="00C4151D">
      <w:pPr>
        <w:pStyle w:val="ListParagraph"/>
        <w:spacing w:after="0"/>
        <w:ind w:left="0"/>
        <w:jc w:val="both"/>
        <w:rPr>
          <w:rFonts w:ascii="Times New Roman" w:hAnsi="Times New Roman"/>
          <w:b/>
          <w:sz w:val="24"/>
          <w:szCs w:val="24"/>
          <w:lang w:val="uk-UA"/>
        </w:rPr>
      </w:pPr>
      <w:r w:rsidRPr="008D3538">
        <w:rPr>
          <w:rFonts w:ascii="Times New Roman" w:hAnsi="Times New Roman"/>
          <w:b/>
          <w:sz w:val="24"/>
          <w:szCs w:val="24"/>
          <w:lang w:val="uk-UA"/>
        </w:rPr>
        <w:t>Фармакокінетичні властивості</w:t>
      </w:r>
    </w:p>
    <w:p w:rsidR="00872356" w:rsidRDefault="00872356"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 xml:space="preserve">Фармакокінетичні дослідження у собак продемонстрували високу міжіндивідуальну мінливість. При фармакокінетичному дослідженні у біглів, площа під кривою коливалася від 52 до 281 мгк/мл/хв у нагодованих собак і від 16 до 175 мкг/мл/хв у голодних собак. Як правило, трілостан швидко видаляється з плазми, досягаючи максимум концентрації від 0,5 до 2,5 годин і повертається майже до початкового рівня через шість – дванадцять годин після введення. Первинний активний метаболіт трілостану, кетотрілостану відбувається за аналогічною схемою. Відсутні докази накопичення трілостану чи метадоліт з часом. Дослідження біодоступності при пероральному застосуванні препарату продкмонстрували, що трілостан абсорбується більше при застосуванні з їжею. Дослідження показали, що трілостан виводиться, головним чином, з екскрементами щурів, демонструючі екскрецію жовчі, як основного метаболічного шляху. У мавпи трілостан виводиться в рівних кількостях з екскрементами та сечею. Результати показали, що трілостан швидко і добре абсорбується з шлунково-кишкового тракту як у щурів, так і у мавп та накопичується в надниркових залозах щура. </w:t>
      </w:r>
    </w:p>
    <w:p w:rsidR="00872356" w:rsidRPr="00C4151D" w:rsidRDefault="00872356" w:rsidP="00C4151D">
      <w:pPr>
        <w:spacing w:after="0"/>
        <w:jc w:val="both"/>
        <w:rPr>
          <w:rFonts w:ascii="Times New Roman" w:hAnsi="Times New Roman"/>
          <w:b/>
          <w:bCs/>
          <w:sz w:val="24"/>
          <w:szCs w:val="24"/>
          <w:lang w:val="uk-UA"/>
        </w:rPr>
      </w:pPr>
      <w:r w:rsidRPr="00C4151D">
        <w:rPr>
          <w:rFonts w:ascii="Times New Roman" w:hAnsi="Times New Roman"/>
          <w:b/>
          <w:bCs/>
          <w:sz w:val="24"/>
          <w:szCs w:val="24"/>
          <w:lang w:val="uk-UA"/>
        </w:rPr>
        <w:t>Застосування</w:t>
      </w:r>
    </w:p>
    <w:p w:rsidR="00872356" w:rsidRDefault="00872356" w:rsidP="00C4151D">
      <w:pPr>
        <w:pStyle w:val="ListParagraph"/>
        <w:spacing w:after="0"/>
        <w:ind w:left="0"/>
        <w:jc w:val="both"/>
        <w:rPr>
          <w:rFonts w:ascii="Times New Roman" w:hAnsi="Times New Roman"/>
          <w:sz w:val="24"/>
          <w:szCs w:val="24"/>
          <w:lang w:val="uk-UA"/>
        </w:rPr>
      </w:pPr>
      <w:r w:rsidRPr="008D3538">
        <w:rPr>
          <w:rFonts w:ascii="Times New Roman" w:hAnsi="Times New Roman"/>
          <w:sz w:val="24"/>
          <w:szCs w:val="24"/>
          <w:lang w:val="uk-UA"/>
        </w:rPr>
        <w:t>Для лікування гіпофізного та надниркового гіперадренокортицизму (хвороба Кушинга і синдром) у собак.</w:t>
      </w:r>
    </w:p>
    <w:p w:rsidR="00872356" w:rsidRPr="00C4151D" w:rsidRDefault="00872356" w:rsidP="00C4151D">
      <w:pPr>
        <w:pStyle w:val="ListParagraph"/>
        <w:spacing w:after="0"/>
        <w:ind w:left="0"/>
        <w:jc w:val="both"/>
        <w:rPr>
          <w:rFonts w:ascii="Times New Roman" w:hAnsi="Times New Roman"/>
          <w:b/>
          <w:bCs/>
          <w:sz w:val="24"/>
          <w:szCs w:val="24"/>
          <w:lang w:val="uk-UA"/>
        </w:rPr>
      </w:pPr>
      <w:r w:rsidRPr="00C4151D">
        <w:rPr>
          <w:rFonts w:ascii="Times New Roman" w:hAnsi="Times New Roman"/>
          <w:b/>
          <w:bCs/>
          <w:sz w:val="24"/>
          <w:szCs w:val="24"/>
          <w:lang w:val="uk-UA"/>
        </w:rPr>
        <w:t>Дозування</w:t>
      </w:r>
    </w:p>
    <w:p w:rsidR="00872356" w:rsidRDefault="00872356" w:rsidP="00C4151D">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Перорально. Один раз на добу з їжею. Початкова доза для лікування становить приблизно 2 мг/кг маси тіла, виходячи з наявних комбінацій розмірів капсул. Титруйте дозу індивідуально. За необхідності збільшення дози, використовуйте комбінацію розмірів капсули для повільного збільшення денної дози. Широкий діапазон розмірів капсул дає можливість оптимального дозування окремо для кожної собаки. Застосовуйте найменшу дозу, необхідну для контролю клінічних ознак. У кінцевому підсумку, якщо симптоми недостатньо контролюються протягом </w:t>
      </w:r>
    </w:p>
    <w:p w:rsidR="00872356" w:rsidRDefault="00872356" w:rsidP="005774DF">
      <w:pPr>
        <w:spacing w:after="0"/>
        <w:jc w:val="right"/>
        <w:rPr>
          <w:rFonts w:ascii="Times New Roman" w:hAnsi="Times New Roman"/>
          <w:sz w:val="24"/>
          <w:szCs w:val="24"/>
          <w:lang w:val="uk-UA"/>
        </w:rPr>
      </w:pPr>
    </w:p>
    <w:p w:rsidR="00872356" w:rsidRPr="00C4151D" w:rsidRDefault="00872356" w:rsidP="005774DF">
      <w:pPr>
        <w:spacing w:after="0"/>
        <w:jc w:val="right"/>
        <w:rPr>
          <w:rFonts w:ascii="Times New Roman" w:hAnsi="Times New Roman"/>
          <w:sz w:val="24"/>
          <w:szCs w:val="24"/>
          <w:lang w:val="uk-UA"/>
        </w:rPr>
      </w:pPr>
      <w:r>
        <w:rPr>
          <w:rFonts w:ascii="Times New Roman" w:hAnsi="Times New Roman"/>
          <w:sz w:val="24"/>
          <w:szCs w:val="24"/>
          <w:lang w:val="uk-UA"/>
        </w:rPr>
        <w:t>Продовження додатку 2</w:t>
      </w:r>
    </w:p>
    <w:p w:rsidR="00872356" w:rsidRDefault="00872356" w:rsidP="005774DF">
      <w:pPr>
        <w:spacing w:after="0"/>
        <w:jc w:val="right"/>
        <w:rPr>
          <w:rFonts w:ascii="Times New Roman" w:hAnsi="Times New Roman"/>
          <w:sz w:val="24"/>
          <w:szCs w:val="24"/>
          <w:lang w:val="uk-UA"/>
        </w:rPr>
      </w:pPr>
      <w:r w:rsidRPr="00C4151D">
        <w:rPr>
          <w:rFonts w:ascii="Times New Roman" w:hAnsi="Times New Roman"/>
          <w:sz w:val="24"/>
          <w:szCs w:val="24"/>
          <w:lang w:val="uk-UA"/>
        </w:rPr>
        <w:t xml:space="preserve">до реєстраційного посвідчення </w:t>
      </w:r>
    </w:p>
    <w:p w:rsidR="00872356" w:rsidRDefault="00872356" w:rsidP="005774DF">
      <w:pPr>
        <w:spacing w:after="0"/>
        <w:jc w:val="right"/>
        <w:rPr>
          <w:rFonts w:ascii="Times New Roman" w:hAnsi="Times New Roman"/>
          <w:sz w:val="24"/>
          <w:szCs w:val="24"/>
          <w:lang w:val="uk-UA"/>
        </w:rPr>
      </w:pPr>
    </w:p>
    <w:p w:rsidR="00872356" w:rsidRDefault="00872356" w:rsidP="005774DF">
      <w:pPr>
        <w:spacing w:after="0"/>
        <w:jc w:val="right"/>
        <w:rPr>
          <w:rFonts w:ascii="Times New Roman" w:hAnsi="Times New Roman"/>
          <w:sz w:val="24"/>
          <w:szCs w:val="24"/>
          <w:lang w:val="uk-UA"/>
        </w:rPr>
      </w:pPr>
    </w:p>
    <w:p w:rsidR="00872356" w:rsidRPr="008D3538" w:rsidRDefault="00872356" w:rsidP="00C4151D">
      <w:pPr>
        <w:spacing w:after="0"/>
        <w:jc w:val="both"/>
        <w:rPr>
          <w:rFonts w:ascii="Times New Roman" w:hAnsi="Times New Roman"/>
          <w:bCs/>
          <w:sz w:val="24"/>
          <w:szCs w:val="24"/>
          <w:lang w:val="uk-UA"/>
        </w:rPr>
      </w:pPr>
      <w:r w:rsidRPr="008D3538">
        <w:rPr>
          <w:rFonts w:ascii="Times New Roman" w:hAnsi="Times New Roman"/>
          <w:bCs/>
          <w:sz w:val="24"/>
          <w:szCs w:val="24"/>
          <w:lang w:val="uk-UA"/>
        </w:rPr>
        <w:t>всього 24-годинного інтервального періоду, слід розглянути можливість збільшення загальної добової дози на 50% і розділити порівно між ранковою та вечірньою дозою. Не розділяйте та не відкривайте капсули. Невелика кількість тварин може потребувати дозу, що значно перевищує 10 мг на 1 кг маси тіла на добу. У цих ситуаціях слід провести додаткову відповідальну перевірку.</w:t>
      </w:r>
    </w:p>
    <w:p w:rsidR="00872356" w:rsidRPr="008D3538" w:rsidRDefault="00872356" w:rsidP="00C4151D">
      <w:pPr>
        <w:spacing w:after="0"/>
        <w:jc w:val="both"/>
        <w:rPr>
          <w:rFonts w:ascii="Times New Roman" w:hAnsi="Times New Roman"/>
          <w:bCs/>
          <w:sz w:val="24"/>
          <w:szCs w:val="24"/>
          <w:u w:val="single"/>
          <w:lang w:val="uk-UA"/>
        </w:rPr>
      </w:pPr>
      <w:r w:rsidRPr="008D3538">
        <w:rPr>
          <w:rFonts w:ascii="Times New Roman" w:hAnsi="Times New Roman"/>
          <w:bCs/>
          <w:sz w:val="24"/>
          <w:szCs w:val="24"/>
          <w:u w:val="single"/>
          <w:lang w:val="uk-UA"/>
        </w:rPr>
        <w:t>Перевірка:</w:t>
      </w:r>
    </w:p>
    <w:p w:rsidR="00872356" w:rsidRPr="008D3538" w:rsidRDefault="00872356" w:rsidP="00C4151D">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Рекомендується відбирати зразки на біохімію (включаючи електроліти) і попередню стимуляційну пробу на адренокортикотропний гормон перед лікуванням, а згодом через 10 днів, 4 тижні, 12 тижнів та через кожні 3 місяці та після кожної корекції дозування, слідкуючи за первинним діагнозом. Рекомендується проводити тест на адренокортикотропний гормон через 4-6 годин після дозування, щоб забезпечити точність результатів. Слід застосовувати препарат вранці, оскільки це дозволить ветеринарному лікарю провести тест через 4-6 годин після ведення дози. Рекомендується проводити регулярний аналіз клінічного прогресування захворювання протягом всіх вищенаведених часових періодів. При відсутності стимулювання при проведенні тесту на стимулюючий адренокортикотропний гормон, слід припинити лікування на 7 днів, а потім знову розпочати, застосовуючи меншу дозу. Проводити тест через 14 днів. </w:t>
      </w:r>
    </w:p>
    <w:p w:rsidR="00872356" w:rsidRDefault="00872356" w:rsidP="00C4151D">
      <w:pPr>
        <w:pStyle w:val="ListParagraph"/>
        <w:spacing w:after="0"/>
        <w:ind w:left="0"/>
        <w:jc w:val="both"/>
        <w:rPr>
          <w:rFonts w:ascii="Times New Roman" w:hAnsi="Times New Roman"/>
          <w:b/>
          <w:sz w:val="24"/>
          <w:szCs w:val="24"/>
          <w:lang w:val="uk-UA"/>
        </w:rPr>
      </w:pPr>
      <w:r>
        <w:rPr>
          <w:rFonts w:ascii="Times New Roman" w:hAnsi="Times New Roman"/>
          <w:b/>
          <w:sz w:val="24"/>
          <w:szCs w:val="24"/>
          <w:lang w:val="uk-UA"/>
        </w:rPr>
        <w:t>Протипоказання</w:t>
      </w:r>
    </w:p>
    <w:p w:rsidR="00872356" w:rsidRPr="008D3538" w:rsidRDefault="00872356" w:rsidP="00F07385">
      <w:pPr>
        <w:spacing w:after="0"/>
        <w:jc w:val="both"/>
        <w:rPr>
          <w:rFonts w:ascii="Times New Roman" w:hAnsi="Times New Roman"/>
          <w:sz w:val="24"/>
          <w:szCs w:val="24"/>
          <w:lang w:val="uk-UA"/>
        </w:rPr>
      </w:pPr>
      <w:r w:rsidRPr="008D3538">
        <w:rPr>
          <w:rFonts w:ascii="Times New Roman" w:hAnsi="Times New Roman"/>
          <w:sz w:val="24"/>
          <w:szCs w:val="24"/>
          <w:lang w:val="uk-UA"/>
        </w:rPr>
        <w:t>Не застосовувати тваринам, які страждають на первинну хворобу печінки та / або ниркову недостатність, а також при підвищеній чутливості до діючої речовини або до будь – якої з допоміжних речовин.</w:t>
      </w:r>
    </w:p>
    <w:p w:rsidR="00872356" w:rsidRDefault="00872356" w:rsidP="00F07385">
      <w:pPr>
        <w:spacing w:after="0"/>
        <w:jc w:val="both"/>
        <w:rPr>
          <w:rFonts w:ascii="Times New Roman" w:hAnsi="Times New Roman"/>
          <w:sz w:val="24"/>
          <w:szCs w:val="24"/>
          <w:lang w:val="uk-UA"/>
        </w:rPr>
      </w:pPr>
      <w:r w:rsidRPr="008D3538">
        <w:rPr>
          <w:rFonts w:ascii="Times New Roman" w:hAnsi="Times New Roman"/>
          <w:sz w:val="24"/>
          <w:szCs w:val="24"/>
          <w:lang w:val="uk-UA"/>
        </w:rPr>
        <w:t>Не застосовувати собакам масою менше 3 кг.</w:t>
      </w:r>
      <w:r>
        <w:rPr>
          <w:rFonts w:ascii="Times New Roman" w:hAnsi="Times New Roman"/>
          <w:sz w:val="24"/>
          <w:szCs w:val="24"/>
          <w:lang w:val="uk-UA"/>
        </w:rPr>
        <w:t xml:space="preserve"> Не застосовувати будь – яким вагітним  чи лактуючим тваринам, які призначаються для розведення</w:t>
      </w:r>
    </w:p>
    <w:p w:rsidR="00872356" w:rsidRPr="00F07385" w:rsidRDefault="00872356"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Застереження</w:t>
      </w:r>
    </w:p>
    <w:p w:rsidR="00872356" w:rsidRPr="008D3538" w:rsidRDefault="00872356" w:rsidP="00F07385">
      <w:pPr>
        <w:pStyle w:val="ListParagraph"/>
        <w:spacing w:after="0"/>
        <w:ind w:left="0"/>
        <w:jc w:val="both"/>
        <w:rPr>
          <w:rFonts w:ascii="Times New Roman" w:hAnsi="Times New Roman"/>
          <w:sz w:val="24"/>
          <w:szCs w:val="24"/>
          <w:lang w:val="uk-UA"/>
        </w:rPr>
      </w:pPr>
      <w:r w:rsidRPr="008D3538">
        <w:rPr>
          <w:rFonts w:ascii="Times New Roman" w:hAnsi="Times New Roman"/>
          <w:sz w:val="24"/>
          <w:szCs w:val="24"/>
          <w:u w:val="single"/>
          <w:lang w:val="uk-UA"/>
        </w:rPr>
        <w:t>Особливі застереження при використанні на тваринах</w:t>
      </w:r>
      <w:r w:rsidRPr="008D3538">
        <w:rPr>
          <w:rFonts w:ascii="Times New Roman" w:hAnsi="Times New Roman"/>
          <w:sz w:val="24"/>
          <w:szCs w:val="24"/>
          <w:lang w:val="uk-UA"/>
        </w:rPr>
        <w:t xml:space="preserve">. </w:t>
      </w:r>
    </w:p>
    <w:p w:rsidR="00872356" w:rsidRPr="008D3538" w:rsidRDefault="00872356" w:rsidP="00F07385">
      <w:pPr>
        <w:pStyle w:val="ListParagraph"/>
        <w:spacing w:after="0"/>
        <w:ind w:left="0"/>
        <w:jc w:val="both"/>
        <w:rPr>
          <w:rFonts w:ascii="Times New Roman" w:hAnsi="Times New Roman"/>
          <w:sz w:val="24"/>
          <w:szCs w:val="24"/>
          <w:lang w:val="uk-UA"/>
        </w:rPr>
      </w:pPr>
      <w:r w:rsidRPr="008D3538">
        <w:rPr>
          <w:rFonts w:ascii="Times New Roman" w:hAnsi="Times New Roman"/>
          <w:sz w:val="24"/>
          <w:szCs w:val="24"/>
          <w:lang w:val="uk-UA"/>
        </w:rPr>
        <w:t>Оскільки, в більшості випадків, гіперадренокортицизм діагностується у собак віком від 10 до 15 років, часто зустрічаються інші патологічні процеси. Особливо віжливо контролювати випадки первинної хвороби печінки ти ниркової недостатності, оскільки препарат протипоказаний при цих захворюваннях. Слід проводити діагностику під час лікування, слідкувати за ферментами печінки, електролітами, сечовиною та креатинином. Наявність цукрового діабету та гіперадренокортициз потребує спеціальної діагностики. Функція надниркових залоз зменшується, якщо собаці попередньо застосовувалося лікування мітотаном. Інтервал перед застосуванням трілостану становить місяць. Рекомендується проводити ретельну діагностику функції надниркових залоз, оскільки собаки можуть бути більш чутливими до дії трілостану. Препарат слід застосовувати з особливою обережністю у собак, які страждають анемією, оскільки може відбуватися подальше зниження об’єму клітинної маси та гемоглобіну. Рекомендується регулярна перевірка.</w:t>
      </w:r>
    </w:p>
    <w:p w:rsidR="00872356" w:rsidRPr="00F07385" w:rsidRDefault="00872356"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Форма випуску</w:t>
      </w:r>
    </w:p>
    <w:p w:rsidR="00872356" w:rsidRDefault="00872356" w:rsidP="00F07385">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Блістери з полівінілхлориду–полівініліденхлориду, покриті алюмінієм, по 10 капсул. </w:t>
      </w:r>
    </w:p>
    <w:p w:rsidR="00872356" w:rsidRPr="008D3538" w:rsidRDefault="00872356" w:rsidP="00F07385">
      <w:pPr>
        <w:spacing w:after="0"/>
        <w:jc w:val="both"/>
        <w:rPr>
          <w:rFonts w:ascii="Times New Roman" w:hAnsi="Times New Roman"/>
          <w:bCs/>
          <w:sz w:val="24"/>
          <w:szCs w:val="24"/>
          <w:lang w:val="uk-UA"/>
        </w:rPr>
      </w:pPr>
      <w:r w:rsidRPr="008D3538">
        <w:rPr>
          <w:rFonts w:ascii="Times New Roman" w:hAnsi="Times New Roman"/>
          <w:bCs/>
          <w:sz w:val="24"/>
          <w:szCs w:val="24"/>
          <w:lang w:val="uk-UA"/>
        </w:rPr>
        <w:t>Кожна коробка містить 3 блістери.</w:t>
      </w:r>
    </w:p>
    <w:p w:rsidR="00872356" w:rsidRPr="00F07385" w:rsidRDefault="00872356"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Зберігання</w:t>
      </w:r>
    </w:p>
    <w:p w:rsidR="00872356" w:rsidRPr="008D3538" w:rsidRDefault="00872356" w:rsidP="00F07385">
      <w:pPr>
        <w:spacing w:after="0"/>
        <w:jc w:val="both"/>
        <w:rPr>
          <w:rFonts w:ascii="Times New Roman" w:hAnsi="Times New Roman"/>
          <w:bCs/>
          <w:sz w:val="24"/>
          <w:szCs w:val="24"/>
          <w:lang w:val="uk-UA"/>
        </w:rPr>
      </w:pPr>
      <w:r w:rsidRPr="008D3538">
        <w:rPr>
          <w:rFonts w:ascii="Times New Roman" w:hAnsi="Times New Roman"/>
          <w:bCs/>
          <w:sz w:val="24"/>
          <w:szCs w:val="24"/>
          <w:lang w:val="uk-UA"/>
        </w:rPr>
        <w:t>Зберігати при температурі не вище 25</w:t>
      </w:r>
      <w:r>
        <w:rPr>
          <w:rFonts w:ascii="Times New Roman" w:hAnsi="Times New Roman"/>
          <w:bCs/>
          <w:sz w:val="24"/>
          <w:szCs w:val="24"/>
          <w:lang w:val="uk-UA"/>
        </w:rPr>
        <w:t xml:space="preserve"> </w:t>
      </w:r>
      <w:r w:rsidRPr="008D3538">
        <w:rPr>
          <w:rFonts w:ascii="Times New Roman" w:hAnsi="Times New Roman"/>
          <w:bCs/>
          <w:sz w:val="24"/>
          <w:szCs w:val="24"/>
          <w:lang w:val="uk-UA"/>
        </w:rPr>
        <w:t>˚С. Тримати блістери в картонній коробці.</w:t>
      </w:r>
    </w:p>
    <w:p w:rsidR="00872356" w:rsidRPr="005774DF" w:rsidRDefault="00872356" w:rsidP="00F07385">
      <w:pPr>
        <w:spacing w:after="0"/>
        <w:jc w:val="both"/>
        <w:rPr>
          <w:rFonts w:ascii="Times New Roman" w:hAnsi="Times New Roman"/>
          <w:bCs/>
          <w:strike/>
          <w:sz w:val="24"/>
          <w:szCs w:val="24"/>
          <w:lang w:val="uk-UA"/>
        </w:rPr>
      </w:pPr>
      <w:r w:rsidRPr="005774DF">
        <w:rPr>
          <w:rFonts w:ascii="Times New Roman" w:hAnsi="Times New Roman"/>
          <w:b/>
          <w:strike/>
          <w:sz w:val="24"/>
          <w:szCs w:val="24"/>
          <w:highlight w:val="yellow"/>
          <w:lang w:val="uk-UA"/>
        </w:rPr>
        <w:t>Термін придатності</w:t>
      </w:r>
      <w:r w:rsidRPr="005774DF">
        <w:rPr>
          <w:rFonts w:ascii="Times New Roman" w:hAnsi="Times New Roman"/>
          <w:bCs/>
          <w:strike/>
          <w:sz w:val="24"/>
          <w:szCs w:val="24"/>
          <w:highlight w:val="yellow"/>
          <w:lang w:val="uk-UA"/>
        </w:rPr>
        <w:t>.</w:t>
      </w:r>
    </w:p>
    <w:p w:rsidR="00872356" w:rsidRPr="008D3538" w:rsidRDefault="00872356" w:rsidP="00F07385">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Термін придатності ветеринарного препарату </w:t>
      </w:r>
      <w:r>
        <w:rPr>
          <w:rFonts w:ascii="Times New Roman" w:hAnsi="Times New Roman"/>
          <w:bCs/>
          <w:sz w:val="24"/>
          <w:szCs w:val="24"/>
          <w:lang w:val="uk-UA"/>
        </w:rPr>
        <w:t xml:space="preserve">— </w:t>
      </w:r>
      <w:r w:rsidRPr="008D3538">
        <w:rPr>
          <w:rFonts w:ascii="Times New Roman" w:hAnsi="Times New Roman"/>
          <w:bCs/>
          <w:sz w:val="24"/>
          <w:szCs w:val="24"/>
          <w:lang w:val="uk-UA"/>
        </w:rPr>
        <w:t>3 роки.</w:t>
      </w:r>
    </w:p>
    <w:p w:rsidR="00872356" w:rsidRDefault="00872356" w:rsidP="00F07385">
      <w:pPr>
        <w:spacing w:after="0"/>
        <w:jc w:val="both"/>
        <w:rPr>
          <w:rFonts w:ascii="Times New Roman" w:hAnsi="Times New Roman"/>
          <w:b/>
          <w:bCs/>
          <w:sz w:val="24"/>
          <w:szCs w:val="24"/>
          <w:lang w:val="uk-UA"/>
        </w:rPr>
      </w:pPr>
    </w:p>
    <w:p w:rsidR="00872356" w:rsidRDefault="00872356"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Для застосування у ветеринарній медицині!</w:t>
      </w:r>
    </w:p>
    <w:p w:rsidR="00872356" w:rsidRDefault="00872356" w:rsidP="00F07385">
      <w:pPr>
        <w:spacing w:after="0"/>
        <w:jc w:val="both"/>
        <w:rPr>
          <w:rFonts w:ascii="Times New Roman" w:hAnsi="Times New Roman"/>
          <w:b/>
          <w:sz w:val="24"/>
          <w:szCs w:val="24"/>
          <w:lang w:val="uk-UA"/>
        </w:rPr>
      </w:pPr>
    </w:p>
    <w:p w:rsidR="00872356" w:rsidRDefault="00872356" w:rsidP="00F07385">
      <w:pPr>
        <w:spacing w:after="0"/>
        <w:jc w:val="both"/>
        <w:rPr>
          <w:rFonts w:ascii="Times New Roman" w:hAnsi="Times New Roman"/>
          <w:b/>
          <w:sz w:val="24"/>
          <w:szCs w:val="24"/>
          <w:lang w:val="uk-UA"/>
        </w:rPr>
      </w:pPr>
    </w:p>
    <w:p w:rsidR="00872356" w:rsidRDefault="00872356" w:rsidP="00F07385">
      <w:pPr>
        <w:spacing w:after="0"/>
        <w:jc w:val="both"/>
        <w:rPr>
          <w:rFonts w:ascii="Times New Roman" w:hAnsi="Times New Roman"/>
          <w:b/>
          <w:sz w:val="24"/>
          <w:szCs w:val="24"/>
          <w:lang w:val="uk-UA"/>
        </w:rPr>
      </w:pPr>
    </w:p>
    <w:p w:rsidR="00872356" w:rsidRPr="00C4151D" w:rsidRDefault="00872356" w:rsidP="00E546CD">
      <w:pPr>
        <w:spacing w:after="0"/>
        <w:jc w:val="right"/>
        <w:rPr>
          <w:rFonts w:ascii="Times New Roman" w:hAnsi="Times New Roman"/>
          <w:sz w:val="24"/>
          <w:szCs w:val="24"/>
          <w:lang w:val="uk-UA"/>
        </w:rPr>
      </w:pPr>
      <w:r>
        <w:rPr>
          <w:rFonts w:ascii="Times New Roman" w:hAnsi="Times New Roman"/>
          <w:sz w:val="24"/>
          <w:szCs w:val="24"/>
          <w:lang w:val="uk-UA"/>
        </w:rPr>
        <w:t>Продовження додатку 2</w:t>
      </w:r>
    </w:p>
    <w:p w:rsidR="00872356" w:rsidRDefault="00872356" w:rsidP="00E546CD">
      <w:pPr>
        <w:spacing w:after="0"/>
        <w:jc w:val="right"/>
        <w:rPr>
          <w:rFonts w:ascii="Times New Roman" w:hAnsi="Times New Roman"/>
          <w:sz w:val="24"/>
          <w:szCs w:val="24"/>
          <w:lang w:val="uk-UA"/>
        </w:rPr>
      </w:pPr>
      <w:r w:rsidRPr="00C4151D">
        <w:rPr>
          <w:rFonts w:ascii="Times New Roman" w:hAnsi="Times New Roman"/>
          <w:sz w:val="24"/>
          <w:szCs w:val="24"/>
          <w:lang w:val="uk-UA"/>
        </w:rPr>
        <w:t xml:space="preserve">до реєстраційного посвідчення </w:t>
      </w:r>
    </w:p>
    <w:p w:rsidR="00872356" w:rsidRDefault="00872356" w:rsidP="00F07385">
      <w:pPr>
        <w:spacing w:after="0"/>
        <w:jc w:val="both"/>
        <w:rPr>
          <w:rFonts w:ascii="Times New Roman" w:hAnsi="Times New Roman"/>
          <w:b/>
          <w:sz w:val="24"/>
          <w:szCs w:val="24"/>
          <w:lang w:val="uk-UA"/>
        </w:rPr>
      </w:pPr>
    </w:p>
    <w:p w:rsidR="00872356" w:rsidRDefault="00872356" w:rsidP="00F07385">
      <w:pPr>
        <w:spacing w:after="0"/>
        <w:jc w:val="both"/>
        <w:rPr>
          <w:rFonts w:ascii="Times New Roman" w:hAnsi="Times New Roman"/>
          <w:b/>
          <w:sz w:val="24"/>
          <w:szCs w:val="24"/>
          <w:lang w:val="uk-UA"/>
        </w:rPr>
      </w:pPr>
    </w:p>
    <w:p w:rsidR="00872356" w:rsidRDefault="00872356" w:rsidP="00F07385">
      <w:pPr>
        <w:spacing w:after="0"/>
        <w:jc w:val="both"/>
        <w:rPr>
          <w:rFonts w:ascii="Times New Roman" w:hAnsi="Times New Roman"/>
          <w:b/>
          <w:sz w:val="24"/>
          <w:szCs w:val="24"/>
          <w:lang w:val="uk-UA"/>
        </w:rPr>
      </w:pPr>
    </w:p>
    <w:p w:rsidR="00872356" w:rsidRPr="00F07385" w:rsidRDefault="00872356" w:rsidP="00F07385">
      <w:pPr>
        <w:spacing w:after="0"/>
        <w:jc w:val="both"/>
        <w:rPr>
          <w:rFonts w:ascii="Times New Roman" w:hAnsi="Times New Roman"/>
          <w:b/>
          <w:sz w:val="24"/>
          <w:szCs w:val="24"/>
          <w:lang w:val="uk-UA"/>
        </w:rPr>
      </w:pPr>
      <w:r w:rsidRPr="00F07385">
        <w:rPr>
          <w:rFonts w:ascii="Times New Roman" w:hAnsi="Times New Roman"/>
          <w:b/>
          <w:sz w:val="24"/>
          <w:szCs w:val="24"/>
          <w:lang w:val="uk-UA"/>
        </w:rPr>
        <w:t>Назва і місцезнаходження власника реєстраційного посвідчення.</w:t>
      </w:r>
    </w:p>
    <w:tbl>
      <w:tblPr>
        <w:tblW w:w="0" w:type="auto"/>
        <w:tblLook w:val="00A0" w:firstRow="1" w:lastRow="0" w:firstColumn="1" w:lastColumn="0" w:noHBand="0" w:noVBand="0"/>
      </w:tblPr>
      <w:tblGrid>
        <w:gridCol w:w="4111"/>
        <w:gridCol w:w="5234"/>
      </w:tblGrid>
      <w:tr w:rsidR="00872356" w:rsidRPr="00091298" w:rsidTr="00091298">
        <w:tc>
          <w:tcPr>
            <w:tcW w:w="4111" w:type="dxa"/>
          </w:tcPr>
          <w:p w:rsidR="00872356" w:rsidRPr="00091298" w:rsidRDefault="00872356" w:rsidP="00091298">
            <w:pPr>
              <w:spacing w:after="0" w:line="240" w:lineRule="auto"/>
              <w:jc w:val="both"/>
              <w:rPr>
                <w:rFonts w:ascii="Times New Roman" w:hAnsi="Times New Roman"/>
                <w:bCs/>
                <w:sz w:val="24"/>
                <w:szCs w:val="24"/>
                <w:lang w:val="en-US"/>
              </w:rPr>
            </w:pPr>
            <w:r w:rsidRPr="00091298">
              <w:rPr>
                <w:rFonts w:ascii="Times New Roman" w:hAnsi="Times New Roman"/>
                <w:bCs/>
                <w:sz w:val="24"/>
                <w:szCs w:val="24"/>
                <w:lang w:val="en-US"/>
              </w:rPr>
              <w:t>Dehra Limited</w:t>
            </w:r>
          </w:p>
          <w:p w:rsidR="00872356" w:rsidRPr="00091298" w:rsidRDefault="00872356" w:rsidP="00091298">
            <w:pPr>
              <w:spacing w:after="0" w:line="240" w:lineRule="auto"/>
              <w:jc w:val="both"/>
              <w:rPr>
                <w:rFonts w:ascii="Times New Roman" w:hAnsi="Times New Roman"/>
                <w:bCs/>
                <w:sz w:val="24"/>
                <w:szCs w:val="24"/>
                <w:lang w:val="en-US"/>
              </w:rPr>
            </w:pPr>
            <w:r w:rsidRPr="00091298">
              <w:rPr>
                <w:rFonts w:ascii="Times New Roman" w:hAnsi="Times New Roman"/>
                <w:bCs/>
                <w:sz w:val="24"/>
                <w:szCs w:val="24"/>
                <w:lang w:val="en-US"/>
              </w:rPr>
              <w:t>Snaygil Industria Estate, Keighley Road, Skipton, North Yorkshire, BD23 2RW</w:t>
            </w:r>
          </w:p>
          <w:p w:rsidR="00872356" w:rsidRPr="00091298" w:rsidRDefault="00872356" w:rsidP="00091298">
            <w:pPr>
              <w:spacing w:after="0" w:line="240" w:lineRule="auto"/>
              <w:jc w:val="both"/>
              <w:rPr>
                <w:rFonts w:ascii="Times New Roman" w:hAnsi="Times New Roman"/>
                <w:bCs/>
                <w:sz w:val="24"/>
                <w:szCs w:val="24"/>
                <w:lang w:val="en-US"/>
              </w:rPr>
            </w:pPr>
            <w:r w:rsidRPr="00091298">
              <w:rPr>
                <w:rFonts w:ascii="Times New Roman" w:hAnsi="Times New Roman"/>
                <w:bCs/>
                <w:sz w:val="24"/>
                <w:szCs w:val="24"/>
                <w:lang w:val="en-US"/>
              </w:rPr>
              <w:t>The United Kingdom</w:t>
            </w:r>
          </w:p>
        </w:tc>
        <w:tc>
          <w:tcPr>
            <w:tcW w:w="5234" w:type="dxa"/>
          </w:tcPr>
          <w:p w:rsidR="00872356" w:rsidRPr="00091298" w:rsidRDefault="00872356" w:rsidP="00091298">
            <w:pPr>
              <w:spacing w:after="0" w:line="240" w:lineRule="auto"/>
              <w:jc w:val="both"/>
              <w:rPr>
                <w:rFonts w:ascii="Times New Roman" w:hAnsi="Times New Roman"/>
                <w:bCs/>
                <w:sz w:val="24"/>
                <w:szCs w:val="24"/>
                <w:lang w:val="uk-UA"/>
              </w:rPr>
            </w:pPr>
            <w:r w:rsidRPr="00091298">
              <w:rPr>
                <w:rFonts w:ascii="Times New Roman" w:hAnsi="Times New Roman"/>
                <w:bCs/>
                <w:sz w:val="24"/>
                <w:szCs w:val="24"/>
                <w:lang w:val="uk-UA"/>
              </w:rPr>
              <w:t>Дехра Лімітед</w:t>
            </w:r>
          </w:p>
          <w:p w:rsidR="00872356" w:rsidRPr="00091298" w:rsidRDefault="00872356" w:rsidP="00091298">
            <w:pPr>
              <w:spacing w:after="0" w:line="240" w:lineRule="auto"/>
              <w:jc w:val="both"/>
              <w:rPr>
                <w:rFonts w:ascii="Times New Roman" w:hAnsi="Times New Roman"/>
                <w:bCs/>
                <w:sz w:val="24"/>
                <w:szCs w:val="24"/>
                <w:lang w:val="uk-UA"/>
              </w:rPr>
            </w:pPr>
            <w:r w:rsidRPr="00091298">
              <w:rPr>
                <w:rFonts w:ascii="Times New Roman" w:hAnsi="Times New Roman"/>
                <w:bCs/>
                <w:sz w:val="24"/>
                <w:szCs w:val="24"/>
                <w:lang w:val="uk-UA"/>
              </w:rPr>
              <w:t xml:space="preserve">Снайгіл Індастріал Естейт, Кейглі Роуд, Скіптон, Графство Північний Йоркшир, </w:t>
            </w:r>
            <w:r w:rsidRPr="00091298">
              <w:rPr>
                <w:rFonts w:ascii="Times New Roman" w:hAnsi="Times New Roman"/>
                <w:bCs/>
                <w:sz w:val="24"/>
                <w:szCs w:val="24"/>
                <w:lang w:val="en-US"/>
              </w:rPr>
              <w:t>BD</w:t>
            </w:r>
            <w:r w:rsidRPr="00091298">
              <w:rPr>
                <w:rFonts w:ascii="Times New Roman" w:hAnsi="Times New Roman"/>
                <w:bCs/>
                <w:sz w:val="24"/>
                <w:szCs w:val="24"/>
                <w:lang w:val="uk-UA"/>
              </w:rPr>
              <w:t>23 2</w:t>
            </w:r>
            <w:r w:rsidRPr="00091298">
              <w:rPr>
                <w:rFonts w:ascii="Times New Roman" w:hAnsi="Times New Roman"/>
                <w:bCs/>
                <w:sz w:val="24"/>
                <w:szCs w:val="24"/>
                <w:lang w:val="en-US"/>
              </w:rPr>
              <w:t>RW</w:t>
            </w:r>
          </w:p>
          <w:p w:rsidR="00872356" w:rsidRPr="00091298" w:rsidRDefault="00872356" w:rsidP="00091298">
            <w:pPr>
              <w:spacing w:after="0" w:line="240" w:lineRule="auto"/>
              <w:jc w:val="both"/>
              <w:rPr>
                <w:rFonts w:ascii="Times New Roman" w:hAnsi="Times New Roman"/>
                <w:bCs/>
                <w:sz w:val="24"/>
                <w:szCs w:val="24"/>
                <w:lang w:val="uk-UA"/>
              </w:rPr>
            </w:pPr>
            <w:r w:rsidRPr="00091298">
              <w:rPr>
                <w:rFonts w:ascii="Times New Roman" w:hAnsi="Times New Roman"/>
                <w:bCs/>
                <w:sz w:val="24"/>
                <w:szCs w:val="24"/>
                <w:lang w:val="uk-UA"/>
              </w:rPr>
              <w:t>Великобританія</w:t>
            </w:r>
          </w:p>
        </w:tc>
      </w:tr>
    </w:tbl>
    <w:p w:rsidR="00872356" w:rsidRPr="008D3538" w:rsidRDefault="00872356" w:rsidP="00F07385">
      <w:pPr>
        <w:spacing w:after="0"/>
        <w:jc w:val="both"/>
        <w:rPr>
          <w:rFonts w:ascii="Times New Roman" w:hAnsi="Times New Roman"/>
          <w:b/>
          <w:sz w:val="24"/>
          <w:szCs w:val="24"/>
          <w:lang w:val="uk-UA"/>
        </w:rPr>
      </w:pPr>
    </w:p>
    <w:p w:rsidR="00872356" w:rsidRPr="00F07385" w:rsidRDefault="00872356" w:rsidP="00F07385">
      <w:pPr>
        <w:spacing w:after="0"/>
        <w:jc w:val="both"/>
        <w:rPr>
          <w:rFonts w:ascii="Times New Roman" w:hAnsi="Times New Roman"/>
          <w:b/>
          <w:sz w:val="24"/>
          <w:szCs w:val="24"/>
          <w:lang w:val="uk-UA"/>
        </w:rPr>
      </w:pPr>
      <w:r w:rsidRPr="00F07385">
        <w:rPr>
          <w:rFonts w:ascii="Times New Roman" w:hAnsi="Times New Roman"/>
          <w:b/>
          <w:sz w:val="24"/>
          <w:szCs w:val="24"/>
          <w:lang w:val="uk-UA"/>
        </w:rPr>
        <w:t>Назва та місцезнаходження виробника</w:t>
      </w:r>
    </w:p>
    <w:tbl>
      <w:tblPr>
        <w:tblW w:w="0" w:type="auto"/>
        <w:tblLook w:val="00A0" w:firstRow="1" w:lastRow="0" w:firstColumn="1" w:lastColumn="0" w:noHBand="0" w:noVBand="0"/>
      </w:tblPr>
      <w:tblGrid>
        <w:gridCol w:w="4111"/>
        <w:gridCol w:w="5234"/>
      </w:tblGrid>
      <w:tr w:rsidR="00872356" w:rsidRPr="00091298" w:rsidTr="00091298">
        <w:tc>
          <w:tcPr>
            <w:tcW w:w="4111" w:type="dxa"/>
          </w:tcPr>
          <w:p w:rsidR="00872356" w:rsidRPr="00091298" w:rsidRDefault="00872356" w:rsidP="00091298">
            <w:pPr>
              <w:spacing w:after="0" w:line="240" w:lineRule="auto"/>
              <w:jc w:val="both"/>
              <w:rPr>
                <w:rFonts w:ascii="Times New Roman" w:hAnsi="Times New Roman"/>
                <w:bCs/>
                <w:sz w:val="24"/>
                <w:szCs w:val="24"/>
                <w:lang w:val="en-US"/>
              </w:rPr>
            </w:pPr>
            <w:r w:rsidRPr="00091298">
              <w:rPr>
                <w:rFonts w:ascii="Times New Roman" w:hAnsi="Times New Roman"/>
                <w:bCs/>
                <w:sz w:val="24"/>
                <w:szCs w:val="24"/>
                <w:lang w:val="en-US"/>
              </w:rPr>
              <w:t>Dehra Limited</w:t>
            </w:r>
          </w:p>
          <w:p w:rsidR="00872356" w:rsidRPr="00091298" w:rsidRDefault="00872356" w:rsidP="00091298">
            <w:pPr>
              <w:spacing w:after="0" w:line="240" w:lineRule="auto"/>
              <w:jc w:val="both"/>
              <w:rPr>
                <w:rFonts w:ascii="Times New Roman" w:hAnsi="Times New Roman"/>
                <w:bCs/>
                <w:sz w:val="24"/>
                <w:szCs w:val="24"/>
                <w:lang w:val="en-US"/>
              </w:rPr>
            </w:pPr>
            <w:r w:rsidRPr="00091298">
              <w:rPr>
                <w:rFonts w:ascii="Times New Roman" w:hAnsi="Times New Roman"/>
                <w:bCs/>
                <w:sz w:val="24"/>
                <w:szCs w:val="24"/>
                <w:lang w:val="en-US"/>
              </w:rPr>
              <w:t>Snaygil Industria Estate, Keighley Road, Skipton, North Yorkshire, BD23 2RW</w:t>
            </w:r>
          </w:p>
          <w:p w:rsidR="00872356" w:rsidRPr="00091298" w:rsidRDefault="00872356" w:rsidP="00091298">
            <w:pPr>
              <w:spacing w:after="0" w:line="240" w:lineRule="auto"/>
              <w:jc w:val="both"/>
              <w:rPr>
                <w:rFonts w:ascii="Times New Roman" w:hAnsi="Times New Roman"/>
                <w:bCs/>
                <w:sz w:val="24"/>
                <w:szCs w:val="24"/>
                <w:lang w:val="en-US"/>
              </w:rPr>
            </w:pPr>
            <w:r w:rsidRPr="00091298">
              <w:rPr>
                <w:rFonts w:ascii="Times New Roman" w:hAnsi="Times New Roman"/>
                <w:bCs/>
                <w:sz w:val="24"/>
                <w:szCs w:val="24"/>
                <w:lang w:val="en-US"/>
              </w:rPr>
              <w:t>The United Kingdom</w:t>
            </w:r>
          </w:p>
        </w:tc>
        <w:tc>
          <w:tcPr>
            <w:tcW w:w="5234" w:type="dxa"/>
          </w:tcPr>
          <w:p w:rsidR="00872356" w:rsidRPr="00091298" w:rsidRDefault="00872356" w:rsidP="00091298">
            <w:pPr>
              <w:spacing w:after="0" w:line="240" w:lineRule="auto"/>
              <w:jc w:val="both"/>
              <w:rPr>
                <w:rFonts w:ascii="Times New Roman" w:hAnsi="Times New Roman"/>
                <w:bCs/>
                <w:sz w:val="24"/>
                <w:szCs w:val="24"/>
                <w:lang w:val="uk-UA"/>
              </w:rPr>
            </w:pPr>
            <w:r w:rsidRPr="00091298">
              <w:rPr>
                <w:rFonts w:ascii="Times New Roman" w:hAnsi="Times New Roman"/>
                <w:bCs/>
                <w:sz w:val="24"/>
                <w:szCs w:val="24"/>
                <w:lang w:val="uk-UA"/>
              </w:rPr>
              <w:t>Дехра Лімітед</w:t>
            </w:r>
          </w:p>
          <w:p w:rsidR="00872356" w:rsidRPr="00091298" w:rsidRDefault="00872356" w:rsidP="00091298">
            <w:pPr>
              <w:spacing w:after="0" w:line="240" w:lineRule="auto"/>
              <w:jc w:val="both"/>
              <w:rPr>
                <w:rFonts w:ascii="Times New Roman" w:hAnsi="Times New Roman"/>
                <w:bCs/>
                <w:sz w:val="24"/>
                <w:szCs w:val="24"/>
                <w:lang w:val="uk-UA"/>
              </w:rPr>
            </w:pPr>
            <w:r w:rsidRPr="00091298">
              <w:rPr>
                <w:rFonts w:ascii="Times New Roman" w:hAnsi="Times New Roman"/>
                <w:bCs/>
                <w:sz w:val="24"/>
                <w:szCs w:val="24"/>
                <w:lang w:val="uk-UA"/>
              </w:rPr>
              <w:t xml:space="preserve">Снайгіл Індастріал Естейт, Кейглі Роуд, Скіптон, Графство Північний Йоркшир, </w:t>
            </w:r>
            <w:r w:rsidRPr="00091298">
              <w:rPr>
                <w:rFonts w:ascii="Times New Roman" w:hAnsi="Times New Roman"/>
                <w:bCs/>
                <w:sz w:val="24"/>
                <w:szCs w:val="24"/>
                <w:lang w:val="en-US"/>
              </w:rPr>
              <w:t>BD</w:t>
            </w:r>
            <w:r w:rsidRPr="00091298">
              <w:rPr>
                <w:rFonts w:ascii="Times New Roman" w:hAnsi="Times New Roman"/>
                <w:bCs/>
                <w:sz w:val="24"/>
                <w:szCs w:val="24"/>
                <w:lang w:val="uk-UA"/>
              </w:rPr>
              <w:t>23 2</w:t>
            </w:r>
            <w:r w:rsidRPr="00091298">
              <w:rPr>
                <w:rFonts w:ascii="Times New Roman" w:hAnsi="Times New Roman"/>
                <w:bCs/>
                <w:sz w:val="24"/>
                <w:szCs w:val="24"/>
                <w:lang w:val="en-US"/>
              </w:rPr>
              <w:t>RW</w:t>
            </w:r>
          </w:p>
          <w:p w:rsidR="00872356" w:rsidRPr="00091298" w:rsidRDefault="00872356" w:rsidP="00091298">
            <w:pPr>
              <w:spacing w:after="0" w:line="240" w:lineRule="auto"/>
              <w:jc w:val="both"/>
              <w:rPr>
                <w:rFonts w:ascii="Times New Roman" w:hAnsi="Times New Roman"/>
                <w:bCs/>
                <w:sz w:val="24"/>
                <w:szCs w:val="24"/>
                <w:lang w:val="uk-UA"/>
              </w:rPr>
            </w:pPr>
            <w:r w:rsidRPr="00091298">
              <w:rPr>
                <w:rFonts w:ascii="Times New Roman" w:hAnsi="Times New Roman"/>
                <w:bCs/>
                <w:sz w:val="24"/>
                <w:szCs w:val="24"/>
                <w:lang w:val="uk-UA"/>
              </w:rPr>
              <w:t>Великобританія</w:t>
            </w:r>
          </w:p>
        </w:tc>
      </w:tr>
    </w:tbl>
    <w:p w:rsidR="00872356" w:rsidRPr="008D3538" w:rsidRDefault="00872356" w:rsidP="00C4151D">
      <w:pPr>
        <w:pStyle w:val="ListParagraph"/>
        <w:spacing w:after="0"/>
        <w:ind w:left="0"/>
        <w:jc w:val="both"/>
        <w:rPr>
          <w:rFonts w:ascii="Times New Roman" w:hAnsi="Times New Roman"/>
          <w:b/>
          <w:sz w:val="24"/>
          <w:szCs w:val="24"/>
          <w:lang w:val="uk-UA"/>
        </w:rPr>
      </w:pPr>
    </w:p>
    <w:p w:rsidR="00872356" w:rsidRPr="008D3538" w:rsidRDefault="00872356" w:rsidP="00C4151D">
      <w:pPr>
        <w:spacing w:after="0"/>
        <w:jc w:val="both"/>
        <w:rPr>
          <w:rFonts w:ascii="Times New Roman" w:hAnsi="Times New Roman"/>
          <w:sz w:val="24"/>
          <w:szCs w:val="24"/>
          <w:lang w:val="uk-UA"/>
        </w:rPr>
      </w:pPr>
    </w:p>
    <w:p w:rsidR="00872356" w:rsidRPr="008D3538" w:rsidRDefault="00872356" w:rsidP="00C4151D">
      <w:pPr>
        <w:pStyle w:val="ListParagraph"/>
        <w:spacing w:after="0"/>
        <w:ind w:left="0"/>
        <w:jc w:val="both"/>
        <w:rPr>
          <w:rFonts w:ascii="Times New Roman" w:hAnsi="Times New Roman"/>
          <w:b/>
          <w:sz w:val="24"/>
          <w:szCs w:val="24"/>
          <w:lang w:val="uk-UA"/>
        </w:rPr>
      </w:pPr>
    </w:p>
    <w:p w:rsidR="00872356" w:rsidRPr="00C4151D" w:rsidRDefault="00872356" w:rsidP="00C4151D">
      <w:pPr>
        <w:pStyle w:val="ListParagraph"/>
        <w:spacing w:after="0"/>
        <w:ind w:left="0"/>
        <w:jc w:val="both"/>
        <w:rPr>
          <w:rFonts w:ascii="Times New Roman" w:hAnsi="Times New Roman"/>
          <w:sz w:val="24"/>
          <w:szCs w:val="24"/>
          <w:lang w:val="uk-UA"/>
        </w:rPr>
      </w:pPr>
    </w:p>
    <w:p w:rsidR="00872356" w:rsidRPr="00C4151D" w:rsidRDefault="00872356" w:rsidP="00C4151D">
      <w:pPr>
        <w:jc w:val="right"/>
        <w:rPr>
          <w:lang w:val="uk-UA"/>
        </w:rPr>
      </w:pPr>
    </w:p>
    <w:sectPr w:rsidR="00872356" w:rsidRPr="00C4151D" w:rsidSect="007850D7">
      <w:footerReference w:type="default" r:id="rId7"/>
      <w:pgSz w:w="11906" w:h="16838"/>
      <w:pgMar w:top="567"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56" w:rsidRDefault="00872356" w:rsidP="00F07385">
      <w:pPr>
        <w:spacing w:after="0" w:line="240" w:lineRule="auto"/>
      </w:pPr>
      <w:r>
        <w:separator/>
      </w:r>
    </w:p>
  </w:endnote>
  <w:endnote w:type="continuationSeparator" w:id="0">
    <w:p w:rsidR="00872356" w:rsidRDefault="00872356" w:rsidP="00F0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Aptos Display">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56" w:rsidRDefault="00872356">
    <w:pPr>
      <w:pStyle w:val="Footer"/>
      <w:jc w:val="center"/>
    </w:pPr>
    <w:r>
      <w:fldChar w:fldCharType="begin"/>
    </w:r>
    <w:r>
      <w:instrText>PAGE   \* MERGEFORMAT</w:instrText>
    </w:r>
    <w:r>
      <w:fldChar w:fldCharType="separate"/>
    </w:r>
    <w:r>
      <w:rPr>
        <w:noProof/>
      </w:rPr>
      <w:t>3</w:t>
    </w:r>
    <w:r>
      <w:fldChar w:fldCharType="end"/>
    </w:r>
  </w:p>
  <w:p w:rsidR="00872356" w:rsidRDefault="00872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56" w:rsidRDefault="00872356" w:rsidP="00F07385">
      <w:pPr>
        <w:spacing w:after="0" w:line="240" w:lineRule="auto"/>
      </w:pPr>
      <w:r>
        <w:separator/>
      </w:r>
    </w:p>
  </w:footnote>
  <w:footnote w:type="continuationSeparator" w:id="0">
    <w:p w:rsidR="00872356" w:rsidRDefault="00872356" w:rsidP="00F07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F0D"/>
    <w:multiLevelType w:val="multilevel"/>
    <w:tmpl w:val="F782F1E4"/>
    <w:lvl w:ilvl="0">
      <w:start w:val="5"/>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09175A6"/>
    <w:multiLevelType w:val="multilevel"/>
    <w:tmpl w:val="B57015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623"/>
    <w:rsid w:val="00053A5D"/>
    <w:rsid w:val="00091298"/>
    <w:rsid w:val="000B44C1"/>
    <w:rsid w:val="00280468"/>
    <w:rsid w:val="0047522A"/>
    <w:rsid w:val="005774DF"/>
    <w:rsid w:val="007850D7"/>
    <w:rsid w:val="00872356"/>
    <w:rsid w:val="008D3538"/>
    <w:rsid w:val="00995F6F"/>
    <w:rsid w:val="009F020F"/>
    <w:rsid w:val="00AF7623"/>
    <w:rsid w:val="00BA530F"/>
    <w:rsid w:val="00C4151D"/>
    <w:rsid w:val="00E546CD"/>
    <w:rsid w:val="00F07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151D"/>
    <w:pPr>
      <w:spacing w:after="160" w:line="259" w:lineRule="auto"/>
    </w:pPr>
    <w:rPr>
      <w:lang w:val="ru-RU" w:eastAsia="en-US"/>
    </w:rPr>
  </w:style>
  <w:style w:type="paragraph" w:styleId="Heading1">
    <w:name w:val="heading 1"/>
    <w:basedOn w:val="Normal"/>
    <w:next w:val="Normal"/>
    <w:link w:val="Heading1Char"/>
    <w:uiPriority w:val="99"/>
    <w:qFormat/>
    <w:rsid w:val="00AF7623"/>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AF7623"/>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AF762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AF762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AF762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AF762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AF762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AF762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AF7623"/>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623"/>
    <w:rPr>
      <w:rFonts w:ascii="Aptos Display" w:hAnsi="Aptos Display"/>
      <w:color w:val="0F4761"/>
      <w:sz w:val="40"/>
    </w:rPr>
  </w:style>
  <w:style w:type="character" w:customStyle="1" w:styleId="Heading2Char">
    <w:name w:val="Heading 2 Char"/>
    <w:basedOn w:val="DefaultParagraphFont"/>
    <w:link w:val="Heading2"/>
    <w:uiPriority w:val="99"/>
    <w:semiHidden/>
    <w:locked/>
    <w:rsid w:val="00AF7623"/>
    <w:rPr>
      <w:rFonts w:ascii="Aptos Display" w:hAnsi="Aptos Display"/>
      <w:color w:val="0F4761"/>
      <w:sz w:val="32"/>
    </w:rPr>
  </w:style>
  <w:style w:type="character" w:customStyle="1" w:styleId="Heading3Char">
    <w:name w:val="Heading 3 Char"/>
    <w:basedOn w:val="DefaultParagraphFont"/>
    <w:link w:val="Heading3"/>
    <w:uiPriority w:val="99"/>
    <w:semiHidden/>
    <w:locked/>
    <w:rsid w:val="00AF7623"/>
    <w:rPr>
      <w:rFonts w:eastAsia="Times New Roman"/>
      <w:color w:val="0F4761"/>
      <w:sz w:val="28"/>
    </w:rPr>
  </w:style>
  <w:style w:type="character" w:customStyle="1" w:styleId="Heading4Char">
    <w:name w:val="Heading 4 Char"/>
    <w:basedOn w:val="DefaultParagraphFont"/>
    <w:link w:val="Heading4"/>
    <w:uiPriority w:val="99"/>
    <w:semiHidden/>
    <w:locked/>
    <w:rsid w:val="00AF7623"/>
    <w:rPr>
      <w:rFonts w:eastAsia="Times New Roman"/>
      <w:i/>
      <w:color w:val="0F4761"/>
    </w:rPr>
  </w:style>
  <w:style w:type="character" w:customStyle="1" w:styleId="Heading5Char">
    <w:name w:val="Heading 5 Char"/>
    <w:basedOn w:val="DefaultParagraphFont"/>
    <w:link w:val="Heading5"/>
    <w:uiPriority w:val="99"/>
    <w:semiHidden/>
    <w:locked/>
    <w:rsid w:val="00AF7623"/>
    <w:rPr>
      <w:rFonts w:eastAsia="Times New Roman"/>
      <w:color w:val="0F4761"/>
    </w:rPr>
  </w:style>
  <w:style w:type="character" w:customStyle="1" w:styleId="Heading6Char">
    <w:name w:val="Heading 6 Char"/>
    <w:basedOn w:val="DefaultParagraphFont"/>
    <w:link w:val="Heading6"/>
    <w:uiPriority w:val="99"/>
    <w:semiHidden/>
    <w:locked/>
    <w:rsid w:val="00AF7623"/>
    <w:rPr>
      <w:rFonts w:eastAsia="Times New Roman"/>
      <w:i/>
      <w:color w:val="595959"/>
    </w:rPr>
  </w:style>
  <w:style w:type="character" w:customStyle="1" w:styleId="Heading7Char">
    <w:name w:val="Heading 7 Char"/>
    <w:basedOn w:val="DefaultParagraphFont"/>
    <w:link w:val="Heading7"/>
    <w:uiPriority w:val="99"/>
    <w:semiHidden/>
    <w:locked/>
    <w:rsid w:val="00AF7623"/>
    <w:rPr>
      <w:rFonts w:eastAsia="Times New Roman"/>
      <w:color w:val="595959"/>
    </w:rPr>
  </w:style>
  <w:style w:type="character" w:customStyle="1" w:styleId="Heading8Char">
    <w:name w:val="Heading 8 Char"/>
    <w:basedOn w:val="DefaultParagraphFont"/>
    <w:link w:val="Heading8"/>
    <w:uiPriority w:val="99"/>
    <w:semiHidden/>
    <w:locked/>
    <w:rsid w:val="00AF7623"/>
    <w:rPr>
      <w:rFonts w:eastAsia="Times New Roman"/>
      <w:i/>
      <w:color w:val="272727"/>
    </w:rPr>
  </w:style>
  <w:style w:type="character" w:customStyle="1" w:styleId="Heading9Char">
    <w:name w:val="Heading 9 Char"/>
    <w:basedOn w:val="DefaultParagraphFont"/>
    <w:link w:val="Heading9"/>
    <w:uiPriority w:val="99"/>
    <w:semiHidden/>
    <w:locked/>
    <w:rsid w:val="00AF7623"/>
    <w:rPr>
      <w:rFonts w:eastAsia="Times New Roman"/>
      <w:color w:val="272727"/>
    </w:rPr>
  </w:style>
  <w:style w:type="paragraph" w:styleId="Title">
    <w:name w:val="Title"/>
    <w:basedOn w:val="Normal"/>
    <w:next w:val="Normal"/>
    <w:link w:val="TitleChar"/>
    <w:uiPriority w:val="99"/>
    <w:qFormat/>
    <w:rsid w:val="00AF7623"/>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AF7623"/>
    <w:rPr>
      <w:rFonts w:ascii="Aptos Display" w:hAnsi="Aptos Display"/>
      <w:spacing w:val="-10"/>
      <w:kern w:val="28"/>
      <w:sz w:val="56"/>
    </w:rPr>
  </w:style>
  <w:style w:type="paragraph" w:styleId="Subtitle">
    <w:name w:val="Subtitle"/>
    <w:basedOn w:val="Normal"/>
    <w:next w:val="Normal"/>
    <w:link w:val="SubtitleChar"/>
    <w:uiPriority w:val="99"/>
    <w:qFormat/>
    <w:rsid w:val="00AF7623"/>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AF7623"/>
    <w:rPr>
      <w:rFonts w:eastAsia="Times New Roman"/>
      <w:color w:val="595959"/>
      <w:spacing w:val="15"/>
      <w:sz w:val="28"/>
    </w:rPr>
  </w:style>
  <w:style w:type="paragraph" w:styleId="Quote">
    <w:name w:val="Quote"/>
    <w:basedOn w:val="Normal"/>
    <w:next w:val="Normal"/>
    <w:link w:val="QuoteChar"/>
    <w:uiPriority w:val="99"/>
    <w:qFormat/>
    <w:rsid w:val="00AF7623"/>
    <w:pPr>
      <w:spacing w:before="160"/>
      <w:jc w:val="center"/>
    </w:pPr>
    <w:rPr>
      <w:i/>
      <w:iCs/>
      <w:color w:val="404040"/>
    </w:rPr>
  </w:style>
  <w:style w:type="character" w:customStyle="1" w:styleId="QuoteChar">
    <w:name w:val="Quote Char"/>
    <w:basedOn w:val="DefaultParagraphFont"/>
    <w:link w:val="Quote"/>
    <w:uiPriority w:val="99"/>
    <w:locked/>
    <w:rsid w:val="00AF7623"/>
    <w:rPr>
      <w:i/>
      <w:color w:val="404040"/>
    </w:rPr>
  </w:style>
  <w:style w:type="paragraph" w:styleId="ListParagraph">
    <w:name w:val="List Paragraph"/>
    <w:basedOn w:val="Normal"/>
    <w:uiPriority w:val="99"/>
    <w:qFormat/>
    <w:rsid w:val="00AF7623"/>
    <w:pPr>
      <w:ind w:left="720"/>
      <w:contextualSpacing/>
    </w:pPr>
  </w:style>
  <w:style w:type="character" w:styleId="IntenseEmphasis">
    <w:name w:val="Intense Emphasis"/>
    <w:basedOn w:val="DefaultParagraphFont"/>
    <w:uiPriority w:val="99"/>
    <w:qFormat/>
    <w:rsid w:val="00AF7623"/>
    <w:rPr>
      <w:i/>
      <w:color w:val="0F4761"/>
    </w:rPr>
  </w:style>
  <w:style w:type="paragraph" w:styleId="IntenseQuote">
    <w:name w:val="Intense Quote"/>
    <w:basedOn w:val="Normal"/>
    <w:next w:val="Normal"/>
    <w:link w:val="IntenseQuoteChar"/>
    <w:uiPriority w:val="99"/>
    <w:qFormat/>
    <w:rsid w:val="00AF762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AF7623"/>
    <w:rPr>
      <w:i/>
      <w:color w:val="0F4761"/>
    </w:rPr>
  </w:style>
  <w:style w:type="character" w:styleId="IntenseReference">
    <w:name w:val="Intense Reference"/>
    <w:basedOn w:val="DefaultParagraphFont"/>
    <w:uiPriority w:val="99"/>
    <w:qFormat/>
    <w:rsid w:val="00AF7623"/>
    <w:rPr>
      <w:b/>
      <w:smallCaps/>
      <w:color w:val="0F4761"/>
      <w:spacing w:val="5"/>
    </w:rPr>
  </w:style>
  <w:style w:type="table" w:styleId="TableGrid">
    <w:name w:val="Table Grid"/>
    <w:basedOn w:val="TableNormal"/>
    <w:uiPriority w:val="99"/>
    <w:rsid w:val="00F07385"/>
    <w:rPr>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7385"/>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F07385"/>
    <w:rPr>
      <w:kern w:val="0"/>
      <w:lang w:val="ru-RU" w:eastAsia="x-none"/>
    </w:rPr>
  </w:style>
  <w:style w:type="paragraph" w:styleId="Footer">
    <w:name w:val="footer"/>
    <w:basedOn w:val="Normal"/>
    <w:link w:val="FooterChar"/>
    <w:uiPriority w:val="99"/>
    <w:rsid w:val="00F07385"/>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F07385"/>
    <w:rPr>
      <w:kern w:val="0"/>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4194</Words>
  <Characters>2392</Characters>
  <Application>Microsoft Office Word</Application>
  <DocSecurity>0</DocSecurity>
  <Lines>0</Lines>
  <Paragraphs>0</Paragraphs>
  <ScaleCrop>false</ScaleCrop>
  <Company>diakov.net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Кучерюк Ірина</dc:creator>
  <cp:keywords/>
  <dc:description/>
  <cp:lastModifiedBy>Vezdenko</cp:lastModifiedBy>
  <cp:revision>10</cp:revision>
  <dcterms:created xsi:type="dcterms:W3CDTF">2024-03-14T12:20:00Z</dcterms:created>
  <dcterms:modified xsi:type="dcterms:W3CDTF">2024-08-15T07:29:00Z</dcterms:modified>
</cp:coreProperties>
</file>