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7A" w:rsidRPr="00EE365A" w:rsidRDefault="005B5F7A" w:rsidP="005B5F7A">
      <w:pPr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</w:p>
    <w:p w:rsidR="00041275" w:rsidRPr="00EE365A" w:rsidRDefault="0086109A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В</w:t>
      </w:r>
      <w:r w:rsidR="005B5F7A"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ЕТАДЕКС</w:t>
      </w:r>
    </w:p>
    <w:p w:rsidR="00041275" w:rsidRPr="00EE365A" w:rsidRDefault="006F6EF5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(</w:t>
      </w:r>
      <w:r w:rsidR="0086109A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розчин для ін’єкцій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)</w:t>
      </w:r>
    </w:p>
    <w:p w:rsidR="00041275" w:rsidRPr="00EE365A" w:rsidRDefault="0086109A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листівка-вкладка</w:t>
      </w:r>
    </w:p>
    <w:p w:rsidR="00041275" w:rsidRPr="00EE365A" w:rsidRDefault="0086109A" w:rsidP="00877EA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О</w:t>
      </w:r>
      <w:r w:rsidR="006F6EF5"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пис</w:t>
      </w:r>
    </w:p>
    <w:p w:rsidR="00041275" w:rsidRPr="00EE365A" w:rsidRDefault="00D71615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П</w:t>
      </w:r>
      <w:r w:rsidR="0086109A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розорий безбарвний розчин.</w:t>
      </w:r>
    </w:p>
    <w:p w:rsidR="00041275" w:rsidRPr="00EE365A" w:rsidRDefault="0086109A" w:rsidP="00877EA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С</w:t>
      </w:r>
      <w:r w:rsidR="006F6EF5"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клад</w:t>
      </w:r>
      <w:r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B56E2D" w:rsidRPr="00EE365A" w:rsidRDefault="00B56E2D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1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мл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препарату містить діючу речовину: </w:t>
      </w:r>
    </w:p>
    <w:p w:rsidR="00B56E2D" w:rsidRPr="00EE365A" w:rsidRDefault="00B56E2D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дексаметазону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натрію фосфат в перерахунку на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дексаметазон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6F6EF5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–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2</w:t>
      </w:r>
      <w:r w:rsidR="006F6EF5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,0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мг. </w:t>
      </w:r>
    </w:p>
    <w:p w:rsidR="00B56E2D" w:rsidRPr="00EE365A" w:rsidRDefault="00B56E2D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Допоміжні речовини: гліцерин,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пропіленгліколь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, натрію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едетат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,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динатрію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гідрофосфат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, натрію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дигідрофосфат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, спирт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бензиловий</w:t>
      </w:r>
      <w:proofErr w:type="spellEnd"/>
      <w:r w:rsidR="002F51DD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, вода для ін’єкцій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. </w:t>
      </w:r>
    </w:p>
    <w:p w:rsidR="00041275" w:rsidRPr="00EE365A" w:rsidRDefault="0086109A" w:rsidP="00877EA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ФАРМАКОЛОГІЧНІ ВЛАСТИВОСТІ</w:t>
      </w:r>
    </w:p>
    <w:p w:rsidR="00B56E2D" w:rsidRPr="00EE365A" w:rsidRDefault="00B56E2D" w:rsidP="00877EA1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ru-RU"/>
        </w:rPr>
        <w:t xml:space="preserve">АТС </w:t>
      </w:r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 w:eastAsia="ru-RU"/>
        </w:rPr>
        <w:t>vet</w:t>
      </w:r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класифіка</w:t>
      </w:r>
      <w:bookmarkStart w:id="0" w:name="_GoBack"/>
      <w:bookmarkEnd w:id="0"/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ційний код:  </w:t>
      </w:r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 w:eastAsia="ru-RU"/>
        </w:rPr>
        <w:t>QH</w:t>
      </w:r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02 </w:t>
      </w:r>
      <w:proofErr w:type="spellStart"/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Кортикостероїди</w:t>
      </w:r>
      <w:proofErr w:type="spellEnd"/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для системного </w:t>
      </w:r>
      <w:proofErr w:type="spellStart"/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застосування</w:t>
      </w:r>
      <w:proofErr w:type="spellEnd"/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. </w:t>
      </w:r>
      <w:proofErr w:type="gramStart"/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 w:eastAsia="ru-RU"/>
        </w:rPr>
        <w:t>QH</w:t>
      </w:r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02</w:t>
      </w:r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 w:eastAsia="ru-RU"/>
        </w:rPr>
        <w:t>AB</w:t>
      </w:r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02 </w:t>
      </w:r>
      <w:proofErr w:type="spellStart"/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Дексаметазон</w:t>
      </w:r>
      <w:proofErr w:type="spellEnd"/>
      <w:r w:rsidRPr="00EE365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proofErr w:type="gramEnd"/>
    </w:p>
    <w:p w:rsidR="001F6342" w:rsidRPr="00EE365A" w:rsidRDefault="001F6342" w:rsidP="001F6342">
      <w:pPr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EE365A">
        <w:rPr>
          <w:rFonts w:ascii="Times New Roman" w:hAnsi="Times New Roman"/>
          <w:color w:val="auto"/>
          <w:sz w:val="24"/>
          <w:szCs w:val="24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–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глюкокортикостероїд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, який має протизапальну,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протиалергічну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, десенсибілізуючу, протишокову, імунодепресивну та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антипроліферативну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дії. 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впливає на всі стадії </w:t>
      </w:r>
      <w:proofErr w:type="gram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запального</w:t>
      </w:r>
      <w:proofErr w:type="gram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процесу. Зменшує проникність кровоносних судин, обумовлену вивільненням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гістаміну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, гальмує вивільнення кінінів та утворення антитіл.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також пригнічує фагоцитоз та вивільнення хімічних посередників запалення.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зменшує концентрацію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тимусзалежних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лімфоцитів (Т-лімфоцитів), моноцитів і еозинофільних лейкоцитів. Він також зменшує зв’язування імуноглобуліну з рецепторами поверхневих тканин та інгібує синтез і вивільнення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інтерлейкінів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шляхом зменшення зародкових Т-лімфоцитів. Обмежує міграцію лейкоцитів в осередку запалення, порушує утворення інтерлейкіну-1, сприяє стабілізації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лізосомальних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мембран і тим самим знижує концентрацію протеолітичних ферментів в осередку запалення. Пригнічує активність фосфоліпази А2, що призводить до пригнічення синтезу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простагландинів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та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лейкотриєнів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. Пригнічує вивільнення ЦОГ (головним чином ЦОГ-2), що також сприяє зменшенню продукції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простагландинів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. Зменшує кількість циркулюючих лімфоцитів (Т- і В-клітин), моноцитів, еозинофілів та базофілів внаслідок їх переміщення із судин у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лімфоїдну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тканину.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стимулює білковий катаболізм та індукує ензими, відповідальні за метаболізм амінокислот. Він зменшує синтез і збільшує розпад білків у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лімфоїдній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тканині, сполучній тканині, м’язах та шкірі. Довготривале застосування може призвести до атрофії цих тканин.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збільшує засвоєння глюкози шляхом індукції печінкових ензимів, які беруть участь в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глюконеогенезі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, стимулювання білкового катаболізму (який збільшує концентрацію амінокислот, що необхідні для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глюконеогенезу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, у печінці) і знижує периферичну утилізацію глюкози. Ці дії призводять до збільшення накопичення глікогену в печінці, збільшення концентрації глюкози в крові та інсулінової стійкості.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збільшує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ліполіз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і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метаболізує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жирні кислоти з жирових тканин, призводячи до збільшення концентрації жирних кислот у плазмі. При довготривалому застосуванні може відбутися аномальний перерозподіл жиру.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зменшує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кісткоутворення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і посилює кісткову резорбцію. Він зменшує концентрацію кальцію у плазмі, призводячи до вторинного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гіперпаратиреозу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і наступного стимулювання остеобластів, і прямого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інгібування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остеобластів.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пригнічує вивільнення з гіпофізу кортикотропіну та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β-ліпопротеїну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, але не зменшує рівень циркулюючого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β-ендорфіну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, пригнічує продукцію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тиреотропного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і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фолікулостимулюючого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гормонів. Внаслідок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катаболічної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дії при тривалому застосуванні можливе пригнічення росту у молодняку. </w:t>
      </w:r>
    </w:p>
    <w:p w:rsidR="001F6342" w:rsidRPr="00EE365A" w:rsidRDefault="001F6342" w:rsidP="001F6342">
      <w:pPr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добре абсорбується після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внутрішньом'язової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внутрішньосуглобової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та локальної (у вогнище запального процесу) ін'єкції. Об'єм розподілу речовини у тварин різних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статево-вікових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груп однаковий.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метаболізується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у печінці. Період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напіввиведення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становить близько 72 годин. Дія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у тканинах організму триває протягом 72 годин.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виводиться з організму переважно нирками та (у дуже незначних кількостях) - з жовчю. Максимальна концентрація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в плазмі (С</w:t>
      </w:r>
      <w:r w:rsidRPr="00EE365A">
        <w:rPr>
          <w:rFonts w:ascii="Times New Roman" w:hAnsi="Times New Roman"/>
          <w:color w:val="auto"/>
          <w:sz w:val="24"/>
          <w:szCs w:val="24"/>
          <w:lang w:val="en-US"/>
        </w:rPr>
        <w:t>max</w:t>
      </w: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) коней, собак та котів досягається протягом 20 хвилин після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внутрішньом'язового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введення.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Біодоступність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після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внутрішньом'язового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введення (порівняно з внутрішньовенним </w:t>
      </w: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введенням) висока для всіх видів тварин і становить майже 100%. Період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напіввиведення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(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Тн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)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варіює від 5 до 20 годин, залежно від виду тварин. Після внутрішньовенного введення дія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дексаметазону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розпочинається швидко, а після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внутрішньом'язового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- клінічний ефект досягається за 8 годин. </w:t>
      </w:r>
    </w:p>
    <w:p w:rsidR="00041275" w:rsidRPr="00EE365A" w:rsidRDefault="0086109A" w:rsidP="00877EA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З</w:t>
      </w:r>
      <w:r w:rsidR="00877EA1"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астосування</w:t>
      </w:r>
    </w:p>
    <w:p w:rsidR="00877EA1" w:rsidRPr="00EE365A" w:rsidRDefault="00877EA1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Лікування коней спортивних порід, собак та котів у комплексі терапевтичних заходів за:</w:t>
      </w:r>
    </w:p>
    <w:p w:rsidR="00877EA1" w:rsidRPr="00EE365A" w:rsidRDefault="00877EA1" w:rsidP="00877EA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патології опорно-рухового апарату (артрити, бурсити, тендовагініти, міозити, вивихи); </w:t>
      </w:r>
    </w:p>
    <w:p w:rsidR="00877EA1" w:rsidRPr="00EE365A" w:rsidRDefault="00877EA1" w:rsidP="00877EA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гострих інфекційних захворювань (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парвовірусний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ентерит собак, інфекційний перитоніт котів) у комбінації з відповідною антибактеріальною терапією; </w:t>
      </w:r>
    </w:p>
    <w:p w:rsidR="00877EA1" w:rsidRPr="00EE365A" w:rsidRDefault="00877EA1" w:rsidP="00877EA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аутоімунних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захворювань (листоподібна пухирчатка у собак);</w:t>
      </w:r>
    </w:p>
    <w:p w:rsidR="00877EA1" w:rsidRPr="00EE365A" w:rsidRDefault="00877EA1" w:rsidP="00877EA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алергічних уражень шкіри (екзема, дерматит, астма, кропивниця);</w:t>
      </w:r>
    </w:p>
    <w:p w:rsidR="00877EA1" w:rsidRPr="00EE365A" w:rsidRDefault="00877EA1" w:rsidP="00877EA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шокових станів. </w:t>
      </w:r>
    </w:p>
    <w:p w:rsidR="00041275" w:rsidRPr="00EE365A" w:rsidRDefault="00B60C74" w:rsidP="00877EA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Д</w:t>
      </w:r>
      <w:r w:rsidR="00877EA1"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озування </w:t>
      </w:r>
    </w:p>
    <w:p w:rsidR="00877EA1" w:rsidRPr="00EE365A" w:rsidRDefault="00877EA1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Лікування проводиться індивідуально. Точне дозування визначає лікар ветеринарної медицини, враховуючи складність перебігу захворювання та реакцію тварини на лікування.</w:t>
      </w:r>
    </w:p>
    <w:p w:rsidR="00877EA1" w:rsidRPr="00EE365A" w:rsidRDefault="00877EA1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Препарат вводять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внутрішньом’язово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, внутрішньовенно або підшкірно.</w:t>
      </w:r>
    </w:p>
    <w:p w:rsidR="00877EA1" w:rsidRPr="00EE365A" w:rsidRDefault="00877EA1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Як протизапальний та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протиалергічний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засіб препарат застосовують один раз на добу у дозах:</w:t>
      </w:r>
    </w:p>
    <w:p w:rsidR="00877EA1" w:rsidRPr="00EE365A" w:rsidRDefault="00877EA1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коні спортивних порід – 5,0-10,0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мл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препарату на 400 кг маси тіла (що відповідає 2,5- 5 мг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дексаметазону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на 100 кг маси тіла);</w:t>
      </w:r>
    </w:p>
    <w:p w:rsidR="00877EA1" w:rsidRPr="00EE365A" w:rsidRDefault="00877EA1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собаки та коти – 0,25-0,5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мл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препарату на 5 кг маси тіла (що відповідає 0,1-0,2 мг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дексаметазону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на 1 кг маси тіла). </w:t>
      </w:r>
    </w:p>
    <w:p w:rsidR="00877EA1" w:rsidRPr="00EE365A" w:rsidRDefault="00877EA1" w:rsidP="00877EA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У комплексі протишокової терапії препарат застосовують шляхом повільної внутрішньовенної ін`єкції.</w:t>
      </w:r>
    </w:p>
    <w:p w:rsidR="00041275" w:rsidRPr="00EE365A" w:rsidRDefault="00877EA1" w:rsidP="00877EA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ru-RU"/>
        </w:rPr>
        <w:t>Протипоказання</w:t>
      </w:r>
      <w:r w:rsidRPr="00EE36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:</w:t>
      </w:r>
    </w:p>
    <w:p w:rsidR="00034AD4" w:rsidRPr="00EE365A" w:rsidRDefault="00034AD4" w:rsidP="00034AD4">
      <w:pPr>
        <w:pStyle w:val="a9"/>
        <w:ind w:left="0" w:firstLine="72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Підвищена індивідуальна чутливість тварини до компонентів препарату.</w:t>
      </w:r>
    </w:p>
    <w:p w:rsidR="00034AD4" w:rsidRPr="00EE365A" w:rsidRDefault="00034AD4" w:rsidP="00034AD4">
      <w:pPr>
        <w:pStyle w:val="a9"/>
        <w:ind w:left="0" w:firstLine="72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Системна грибкова інфекція, активна форма туберкульозу, артеріальна гіпертензія, гострі розлади вищої нервової діяльності, вірусні захворювання, синдром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Іценко-Кушинга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. </w:t>
      </w:r>
    </w:p>
    <w:p w:rsidR="00034AD4" w:rsidRPr="00EE365A" w:rsidRDefault="00034AD4" w:rsidP="00034AD4">
      <w:pPr>
        <w:pStyle w:val="a9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Не застосовувати препарат тваринам, хворим на діабет, з печінковою, нирковою або серцевою недостатністю, виразковою хворобою шлунка та дванадцятипалої кишки, з переломами кісток та остеопорозом, з дегенеративними хворобами очей та/або виразкою рогівки, з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гіперадренокортикалізмом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.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</w:p>
    <w:p w:rsidR="00877EA1" w:rsidRPr="00EE365A" w:rsidRDefault="00034AD4" w:rsidP="00034AD4">
      <w:pPr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Заборонено застосовувати самкам в останньому триместрі вагітності.</w:t>
      </w:r>
    </w:p>
    <w:p w:rsidR="00041275" w:rsidRPr="00EE365A" w:rsidRDefault="00B60C74" w:rsidP="0046171F">
      <w:pPr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EE365A">
        <w:rPr>
          <w:rFonts w:ascii="Times New Roman" w:hAnsi="Times New Roman"/>
          <w:b/>
          <w:color w:val="auto"/>
          <w:sz w:val="24"/>
          <w:szCs w:val="24"/>
        </w:rPr>
        <w:t>З</w:t>
      </w:r>
      <w:r w:rsidR="00877EA1" w:rsidRPr="00EE365A">
        <w:rPr>
          <w:rFonts w:ascii="Times New Roman" w:hAnsi="Times New Roman"/>
          <w:b/>
          <w:color w:val="auto"/>
          <w:sz w:val="24"/>
          <w:szCs w:val="24"/>
        </w:rPr>
        <w:t>астереження</w:t>
      </w:r>
      <w:proofErr w:type="spellEnd"/>
    </w:p>
    <w:p w:rsidR="00041275" w:rsidRPr="00EE365A" w:rsidRDefault="0037278E" w:rsidP="0046171F">
      <w:pPr>
        <w:widowControl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>Побічна дія</w:t>
      </w:r>
    </w:p>
    <w:p w:rsidR="00877EA1" w:rsidRPr="00EE365A" w:rsidRDefault="00877EA1" w:rsidP="0046171F">
      <w:pPr>
        <w:pStyle w:val="a5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За застосування відповідно до листівки-вкладки побічна дія препарату у тварин не спостерігається.</w:t>
      </w:r>
    </w:p>
    <w:p w:rsidR="00877EA1" w:rsidRPr="00EE365A" w:rsidRDefault="00877EA1" w:rsidP="0046171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Побічна дія проявляється переважно за введення великих доз препарату та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гіперчутливості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до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глюкокортикостероїдів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. За тривалого лікування (понад 2 тижні) можливий розвиток функціональної недостатності надниркових залоз, порушення секреції статевих гормонів. Вторинна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адренокортикальна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недостатність, яка викликана лікарськими препаратами, може бути спричинена через раптову відміну кортикостероїдів і може бути зведена до мінімуму поступовим зменшенням дозування. </w:t>
      </w:r>
    </w:p>
    <w:p w:rsidR="00877EA1" w:rsidRPr="00EE365A" w:rsidRDefault="00877EA1" w:rsidP="0046171F">
      <w:pPr>
        <w:pStyle w:val="a5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Також може спостерігатись затримка в організмі води і натрію, втрата калію та кальцію, гіпертензія, м’язова слабкість, остеопороз, пептична виразка з можливою наступною перфорацією і кровотечею, панкреатит, погіршення загоєння ран, конвульсії, запаморочення, розвиток синдрому </w:t>
      </w:r>
      <w:proofErr w:type="spellStart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Іценко-Кушинга</w:t>
      </w:r>
      <w:proofErr w:type="spellEnd"/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, прояви латентного цукрового діабету, негативний баланс азоту через білковий катаболізм, алергія, інфекційні захворювання, які пов’язані з імунодепресивною дією препарату. </w:t>
      </w:r>
    </w:p>
    <w:p w:rsidR="0037278E" w:rsidRPr="00EE365A" w:rsidRDefault="0037278E" w:rsidP="0037278E">
      <w:pPr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>Особливі застереження при використанні</w:t>
      </w:r>
    </w:p>
    <w:p w:rsidR="00877EA1" w:rsidRPr="00EE365A" w:rsidRDefault="00877EA1" w:rsidP="00877EA1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lastRenderedPageBreak/>
        <w:t>Не використовувати засіб для лікування цуценят та кошенят до 7-9 місячного віку (у період формування кісткового скелета), так як під час прийому вимивається кальцій.</w:t>
      </w:r>
    </w:p>
    <w:p w:rsidR="00877EA1" w:rsidRPr="00EE365A" w:rsidRDefault="00877EA1" w:rsidP="00877EA1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Не застосовувати коням спортивних порід довше 5 діб. </w:t>
      </w:r>
    </w:p>
    <w:p w:rsidR="00877EA1" w:rsidRPr="00EE365A" w:rsidRDefault="00877EA1" w:rsidP="00877EA1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При довготривалій терапії  рекомендована поступова відмова від препарату. </w:t>
      </w:r>
    </w:p>
    <w:p w:rsidR="00877EA1" w:rsidRPr="00EE365A" w:rsidRDefault="00877EA1" w:rsidP="00877EA1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У коней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дексаметазон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слід застосовувати лише на початку захворювання </w:t>
      </w:r>
      <w:r w:rsidR="00065A4F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на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ламініт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. </w:t>
      </w:r>
    </w:p>
    <w:p w:rsidR="00877EA1" w:rsidRPr="00EE365A" w:rsidRDefault="00877EA1" w:rsidP="00877EA1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При підозрі  або за наявності мікробної інфекції лікування проводять разом з відповідною протимікробною терапією.</w:t>
      </w:r>
    </w:p>
    <w:p w:rsidR="0037278E" w:rsidRPr="00EE365A" w:rsidRDefault="0037278E" w:rsidP="0037278E">
      <w:pPr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>Використання під час вагітності, лактації</w:t>
      </w:r>
    </w:p>
    <w:p w:rsidR="00486249" w:rsidRPr="00EE365A" w:rsidRDefault="00486249" w:rsidP="00486249">
      <w:pPr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Не рекомендується  застосовувати вагітним і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лактуючим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тваринам.</w:t>
      </w:r>
    </w:p>
    <w:p w:rsidR="00486249" w:rsidRPr="00EE365A" w:rsidRDefault="00486249" w:rsidP="00486249">
      <w:pPr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Заборонено застосовувати самкам в останньому  триместрі вагітності.</w:t>
      </w:r>
    </w:p>
    <w:p w:rsidR="0037278E" w:rsidRPr="00EE365A" w:rsidRDefault="0037278E" w:rsidP="0037278E">
      <w:pPr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>Взаємодія з іншими засобами та інші форми взаємодії</w:t>
      </w:r>
    </w:p>
    <w:p w:rsidR="003513E1" w:rsidRPr="00EE365A" w:rsidRDefault="003513E1" w:rsidP="003513E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Допускається комбінація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дексаметазону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зі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циклоспорином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,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дігоксином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,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амфотерицином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,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римадилом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і таке інше. При цьому не можна застосовувати з іншими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глюкокортикостероїдами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. </w:t>
      </w:r>
    </w:p>
    <w:p w:rsidR="00034AD4" w:rsidRPr="00EE365A" w:rsidRDefault="00A15BCE" w:rsidP="0043520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Не рнкомендовано</w:t>
      </w:r>
      <w:r w:rsidR="003513E1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одночасно з барбітуратами, лікарськими препаратами імунобіологічного, </w:t>
      </w:r>
      <w:proofErr w:type="spellStart"/>
      <w:r w:rsidR="003513E1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антигістамінного</w:t>
      </w:r>
      <w:proofErr w:type="spellEnd"/>
      <w:r w:rsidR="003513E1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та </w:t>
      </w:r>
      <w:proofErr w:type="spellStart"/>
      <w:r w:rsidR="003513E1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антидіабетичного</w:t>
      </w:r>
      <w:proofErr w:type="spellEnd"/>
      <w:r w:rsidR="003513E1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типу, сечогінними препаратами, саліцилатами, солями кальцію, тетрациклінами, </w:t>
      </w:r>
      <w:proofErr w:type="spellStart"/>
      <w:r w:rsidR="003513E1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макролідами</w:t>
      </w:r>
      <w:proofErr w:type="spellEnd"/>
      <w:r w:rsidR="003513E1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, </w:t>
      </w:r>
      <w:proofErr w:type="spellStart"/>
      <w:r w:rsidR="003513E1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канаміцином</w:t>
      </w:r>
      <w:proofErr w:type="spellEnd"/>
      <w:r w:rsidR="003513E1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. </w:t>
      </w:r>
    </w:p>
    <w:p w:rsidR="003513E1" w:rsidRPr="00EE365A" w:rsidRDefault="003513E1" w:rsidP="00435204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>Передозування  (симптоми, невідкладні заходи, антидоти)</w:t>
      </w:r>
    </w:p>
    <w:p w:rsidR="003513E1" w:rsidRPr="00EE365A" w:rsidRDefault="003513E1" w:rsidP="0043520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Негативні реакції на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дексаметазон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можуть виникнути тільки за тривалого застосування, підвищених доз препарату. До них відносяться:</w:t>
      </w:r>
    </w:p>
    <w:p w:rsidR="003513E1" w:rsidRPr="00EE365A" w:rsidRDefault="003513E1" w:rsidP="003513E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з боку ЦНС – пригнічений стан, в’ялість порушення в поведінці (поїдання неїстівних речей, безпричинна агресія);</w:t>
      </w:r>
    </w:p>
    <w:p w:rsidR="003513E1" w:rsidRPr="00EE365A" w:rsidRDefault="003513E1" w:rsidP="003513E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з боку серцево-судинної системи – порушення серцевого ритму, підвищення артеріального тиску;</w:t>
      </w:r>
    </w:p>
    <w:p w:rsidR="003513E1" w:rsidRPr="00EE365A" w:rsidRDefault="003513E1" w:rsidP="003513E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з боку ШКТ – напади нудоти, блювання, збільшення або зниження апетиту;</w:t>
      </w:r>
    </w:p>
    <w:p w:rsidR="003513E1" w:rsidRPr="00EE365A" w:rsidRDefault="003513E1" w:rsidP="003513E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з боку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ендокринно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ї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системи – збільшення ваги;</w:t>
      </w:r>
    </w:p>
    <w:p w:rsidR="003513E1" w:rsidRPr="00EE365A" w:rsidRDefault="003513E1" w:rsidP="003513E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з боку шкіри та підшкірних тканин – атрофічні зміни дерми;</w:t>
      </w:r>
    </w:p>
    <w:p w:rsidR="003513E1" w:rsidRPr="00EE365A" w:rsidRDefault="003513E1" w:rsidP="003513E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з боку імунної системи – реакції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гіперчутливості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(свербіж), зниження імунітету до інфекційних та вірусних захворювань;</w:t>
      </w:r>
    </w:p>
    <w:p w:rsidR="003513E1" w:rsidRPr="00EE365A" w:rsidRDefault="003513E1" w:rsidP="003513E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з боку опорно-рухового апарату – м'язова слабкість, стероїдні міопатії, розриви сухожильних зв'язок.</w:t>
      </w:r>
    </w:p>
    <w:p w:rsidR="003513E1" w:rsidRPr="00EE365A" w:rsidRDefault="003513E1" w:rsidP="00435204">
      <w:pPr>
        <w:pStyle w:val="a9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С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пецифічного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антидоту не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існує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За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клінічних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проявів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передозування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необхідно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негайно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припинити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введення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препарату і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вчасно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призначити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симптоматичне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лікування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Рекомендується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тривалого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застосування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регулярно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робити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аналізи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крові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сечі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gram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proofErr w:type="gram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разі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погіршення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резуль</w:t>
      </w:r>
      <w:r w:rsidR="00ED01DF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татів</w:t>
      </w:r>
      <w:proofErr w:type="spellEnd"/>
      <w:r w:rsidR="00ED01DF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ED01DF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припинити</w:t>
      </w:r>
      <w:proofErr w:type="spellEnd"/>
      <w:r w:rsidR="00ED01DF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ED01DF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прийом</w:t>
      </w:r>
      <w:proofErr w:type="spellEnd"/>
      <w:r w:rsidR="00ED01DF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препарату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і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тварині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призначити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симптоматичне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лікування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37278E" w:rsidRPr="00EE365A" w:rsidRDefault="0037278E" w:rsidP="00435204">
      <w:pPr>
        <w:tabs>
          <w:tab w:val="left" w:pos="142"/>
        </w:tabs>
        <w:ind w:left="709" w:hanging="142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>Спеціальні застереження</w:t>
      </w:r>
    </w:p>
    <w:p w:rsidR="0037278E" w:rsidRPr="00EE365A" w:rsidRDefault="0037278E" w:rsidP="00435204">
      <w:pPr>
        <w:tabs>
          <w:tab w:val="left" w:pos="142"/>
        </w:tabs>
        <w:ind w:left="709" w:hanging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Не слід вакцинувати тварину, яку лікують кортикостероїдом.</w:t>
      </w:r>
    </w:p>
    <w:p w:rsidR="0037278E" w:rsidRPr="00EE365A" w:rsidRDefault="0037278E" w:rsidP="00435204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>Спеціальні застереження для осіб і обслуговуючого персоналу, котрі застосовують препарат тваринам</w:t>
      </w:r>
    </w:p>
    <w:p w:rsidR="0037278E" w:rsidRPr="00EE365A" w:rsidRDefault="0037278E" w:rsidP="00435204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Під час роботи з препаратом слід дотримуватись загальних правил особистої гігієни та техніки безпеки, передбачених при роботі з лікарськими препаратами.</w:t>
      </w:r>
    </w:p>
    <w:p w:rsidR="0037278E" w:rsidRPr="00EE365A" w:rsidRDefault="0037278E" w:rsidP="00435204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Під час роботи забороняється </w:t>
      </w:r>
      <w:r w:rsidR="00EE3F27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палити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, пити та вживати їжу. Після закінчення роботи з лікарським препаратом слід ретельно вимити з милом руки. Порожні флакони з-під лікарського препарату забороняється використовувати для побутових цілей, вони підлягають утилізації з побутовими відходами.</w:t>
      </w:r>
    </w:p>
    <w:p w:rsidR="0037278E" w:rsidRPr="00EE365A" w:rsidRDefault="0037278E" w:rsidP="006C2ED7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Людям із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гіперчутливістю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до компонентів препарату слід уникати прямого контакту з препаратом ВЕТАДЕКС.</w:t>
      </w:r>
    </w:p>
    <w:p w:rsidR="0037278E" w:rsidRPr="00EE365A" w:rsidRDefault="0037278E" w:rsidP="006C2ED7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У випадку попадання препарату на шкіру чи слизові оболонки необхідно негайно промити їх великою кількістю води. У разі появи алергічних реакцій або за випадкового потрапляння препарату в організм людини негайно звернутися до медичного закладу (з соб</w:t>
      </w:r>
      <w:r w:rsidR="00AE7BB3"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о</w:t>
      </w: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ю мати листівку-вкладку або етикетку).</w:t>
      </w:r>
    </w:p>
    <w:p w:rsidR="003236A9" w:rsidRPr="00EE365A" w:rsidRDefault="003236A9" w:rsidP="006C2ED7">
      <w:pPr>
        <w:pStyle w:val="a9"/>
        <w:ind w:hanging="153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>Форми несумісності (основні)</w:t>
      </w:r>
    </w:p>
    <w:p w:rsidR="003236A9" w:rsidRPr="00EE365A" w:rsidRDefault="003236A9" w:rsidP="006C2ED7">
      <w:pPr>
        <w:pStyle w:val="a9"/>
        <w:ind w:hanging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Є антагоністом інсуліну.</w:t>
      </w:r>
    </w:p>
    <w:p w:rsidR="003236A9" w:rsidRPr="00EE365A" w:rsidRDefault="003236A9" w:rsidP="006C2ED7">
      <w:pPr>
        <w:pStyle w:val="a9"/>
        <w:ind w:hanging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Не слід  використовувати в комбінації з вакцинами через його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імуносупресивну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дію.</w:t>
      </w:r>
    </w:p>
    <w:p w:rsidR="00F93451" w:rsidRPr="00EE365A" w:rsidRDefault="00F93451" w:rsidP="006C2ED7">
      <w:pPr>
        <w:ind w:firstLine="567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41275" w:rsidRPr="00EE365A" w:rsidRDefault="00435204" w:rsidP="006C2ED7">
      <w:pPr>
        <w:ind w:firstLine="567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b/>
          <w:color w:val="auto"/>
          <w:sz w:val="24"/>
          <w:szCs w:val="24"/>
          <w:lang w:val="uk-UA"/>
        </w:rPr>
        <w:t>Форма випуску</w:t>
      </w:r>
    </w:p>
    <w:p w:rsidR="003236A9" w:rsidRPr="00EE365A" w:rsidRDefault="00EA3C41" w:rsidP="00435204">
      <w:pPr>
        <w:widowControl w:val="0"/>
        <w:shd w:val="clear" w:color="auto" w:fill="FFFFFF"/>
        <w:tabs>
          <w:tab w:val="left" w:pos="403"/>
          <w:tab w:val="left" w:pos="900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uk-UA" w:eastAsia="ru-RU"/>
        </w:rPr>
      </w:pPr>
      <w:r w:rsidRPr="00EE365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uk-UA" w:eastAsia="ru-RU"/>
        </w:rPr>
        <w:t xml:space="preserve">Ампули скляні по 1 та 2 </w:t>
      </w:r>
      <w:proofErr w:type="spellStart"/>
      <w:r w:rsidRPr="00EE365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uk-UA" w:eastAsia="ru-RU"/>
        </w:rPr>
        <w:t>мл</w:t>
      </w:r>
      <w:proofErr w:type="spellEnd"/>
      <w:r w:rsidRPr="00EE365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uk-UA" w:eastAsia="ru-RU"/>
        </w:rPr>
        <w:t>,</w:t>
      </w:r>
      <w:r w:rsidR="003236A9" w:rsidRPr="00EE365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uk-UA" w:eastAsia="ru-RU"/>
        </w:rPr>
        <w:t xml:space="preserve"> </w:t>
      </w:r>
      <w:r w:rsidRPr="00EE365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uk-UA" w:eastAsia="ru-RU"/>
        </w:rPr>
        <w:t>ф</w:t>
      </w:r>
      <w:r w:rsidR="003236A9" w:rsidRPr="00EE365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uk-UA" w:eastAsia="ru-RU"/>
        </w:rPr>
        <w:t xml:space="preserve">лакони скляні по 10, 50  та 100 </w:t>
      </w:r>
      <w:proofErr w:type="spellStart"/>
      <w:r w:rsidR="003236A9" w:rsidRPr="00EE365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uk-UA" w:eastAsia="ru-RU"/>
        </w:rPr>
        <w:t>мл</w:t>
      </w:r>
      <w:proofErr w:type="spellEnd"/>
      <w:r w:rsidR="003236A9" w:rsidRPr="00EE365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uk-UA" w:eastAsia="ru-RU"/>
        </w:rPr>
        <w:t>.</w:t>
      </w:r>
    </w:p>
    <w:p w:rsidR="00041275" w:rsidRPr="00EE365A" w:rsidRDefault="00B60C74" w:rsidP="008D60FF">
      <w:pPr>
        <w:widowControl w:val="0"/>
        <w:ind w:firstLine="567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b/>
          <w:color w:val="auto"/>
          <w:sz w:val="24"/>
          <w:szCs w:val="24"/>
          <w:lang w:val="uk-UA"/>
        </w:rPr>
        <w:t>З</w:t>
      </w:r>
      <w:r w:rsidR="008D60FF" w:rsidRPr="00EE365A">
        <w:rPr>
          <w:rFonts w:ascii="Times New Roman" w:hAnsi="Times New Roman"/>
          <w:b/>
          <w:color w:val="auto"/>
          <w:sz w:val="24"/>
          <w:szCs w:val="24"/>
          <w:lang w:val="uk-UA"/>
        </w:rPr>
        <w:t>берігання</w:t>
      </w:r>
    </w:p>
    <w:p w:rsidR="00041275" w:rsidRPr="00EE365A" w:rsidRDefault="00096CAF" w:rsidP="008D60FF">
      <w:pPr>
        <w:shd w:val="clear" w:color="auto" w:fill="FFFFFF"/>
        <w:tabs>
          <w:tab w:val="left" w:pos="266"/>
          <w:tab w:val="left" w:pos="900"/>
        </w:tabs>
        <w:ind w:firstLine="567"/>
        <w:jc w:val="both"/>
        <w:rPr>
          <w:rFonts w:ascii="Times New Roman" w:hAnsi="Times New Roman"/>
          <w:color w:val="auto"/>
          <w:spacing w:val="-2"/>
          <w:sz w:val="24"/>
          <w:szCs w:val="24"/>
          <w:lang w:val="uk-UA"/>
        </w:rPr>
      </w:pPr>
      <w:r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У с</w:t>
      </w:r>
      <w:r w:rsidR="0086109A"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ух</w:t>
      </w:r>
      <w:r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ому</w:t>
      </w:r>
      <w:r w:rsidR="0086109A"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 xml:space="preserve"> темн</w:t>
      </w:r>
      <w:r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ому та</w:t>
      </w:r>
      <w:r w:rsidR="0086109A"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 xml:space="preserve"> недоступн</w:t>
      </w:r>
      <w:r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ому</w:t>
      </w:r>
      <w:r w:rsidR="0086109A"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 xml:space="preserve"> для дітей місц</w:t>
      </w:r>
      <w:r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і за</w:t>
      </w:r>
      <w:r w:rsidR="0086109A"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 xml:space="preserve"> температур</w:t>
      </w:r>
      <w:r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и</w:t>
      </w:r>
      <w:r w:rsidR="0086109A"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 xml:space="preserve"> від </w:t>
      </w:r>
      <w:r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5</w:t>
      </w:r>
      <w:r w:rsidR="0086109A"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 xml:space="preserve"> до </w:t>
      </w:r>
      <w:r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25</w:t>
      </w:r>
      <w:r w:rsidR="0086109A"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>°С.</w:t>
      </w:r>
    </w:p>
    <w:p w:rsidR="00041275" w:rsidRPr="00EE365A" w:rsidRDefault="0086109A" w:rsidP="008D60FF">
      <w:pPr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Термін придатності — 4 роки.</w:t>
      </w:r>
    </w:p>
    <w:p w:rsidR="00041275" w:rsidRPr="00EE365A" w:rsidRDefault="0086109A" w:rsidP="008D60FF">
      <w:pPr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Термін придатності після першого відбору</w:t>
      </w:r>
      <w:r w:rsidR="001F536B"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із</w:t>
      </w:r>
      <w:r w:rsidR="00193338"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флакона</w:t>
      </w:r>
      <w:r w:rsidR="00096CAF"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-</w:t>
      </w:r>
      <w:r w:rsidR="00EA3C41"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14 діб</w:t>
      </w:r>
      <w:r w:rsidR="00096CAF"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за</w:t>
      </w:r>
      <w:r w:rsidR="001F536B"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умови зберігання за</w:t>
      </w:r>
      <w:r w:rsidR="00096CAF" w:rsidRPr="00EE365A">
        <w:rPr>
          <w:rFonts w:ascii="Times New Roman" w:hAnsi="Times New Roman"/>
          <w:color w:val="auto"/>
          <w:sz w:val="24"/>
          <w:szCs w:val="24"/>
          <w:lang w:val="uk-UA"/>
        </w:rPr>
        <w:t xml:space="preserve"> температури від 2</w:t>
      </w:r>
      <w:r w:rsidR="00096CAF" w:rsidRPr="00EE365A">
        <w:rPr>
          <w:rFonts w:ascii="Times New Roman" w:hAnsi="Times New Roman"/>
          <w:color w:val="auto"/>
          <w:spacing w:val="-2"/>
          <w:sz w:val="24"/>
          <w:szCs w:val="24"/>
          <w:lang w:val="uk-UA"/>
        </w:rPr>
        <w:t xml:space="preserve"> до 8°С</w:t>
      </w:r>
      <w:r w:rsidRPr="00EE365A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041275" w:rsidRPr="00EE365A" w:rsidRDefault="0086109A" w:rsidP="008D60FF">
      <w:pPr>
        <w:ind w:firstLine="567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EE365A">
        <w:rPr>
          <w:rFonts w:ascii="Times New Roman" w:hAnsi="Times New Roman"/>
          <w:b/>
          <w:color w:val="auto"/>
          <w:sz w:val="24"/>
          <w:szCs w:val="24"/>
          <w:lang w:val="uk-UA"/>
        </w:rPr>
        <w:t>Для застосування у ветеринарній медицині!</w:t>
      </w:r>
    </w:p>
    <w:p w:rsidR="00065D27" w:rsidRPr="00EE365A" w:rsidRDefault="00065D27" w:rsidP="008D60FF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EE365A">
        <w:rPr>
          <w:rFonts w:ascii="Times New Roman" w:hAnsi="Times New Roman" w:cs="Times New Roman"/>
          <w:b/>
          <w:color w:val="auto"/>
          <w:sz w:val="24"/>
          <w:szCs w:val="24"/>
        </w:rPr>
        <w:t>Власник</w:t>
      </w:r>
      <w:proofErr w:type="spellEnd"/>
      <w:r w:rsidRPr="00EE36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E365A">
        <w:rPr>
          <w:rFonts w:ascii="Times New Roman" w:hAnsi="Times New Roman" w:cs="Times New Roman"/>
          <w:b/>
          <w:color w:val="auto"/>
          <w:sz w:val="24"/>
          <w:szCs w:val="24"/>
        </w:rPr>
        <w:t>реєстраційного</w:t>
      </w:r>
      <w:proofErr w:type="spellEnd"/>
      <w:r w:rsidRPr="00EE36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E365A">
        <w:rPr>
          <w:rFonts w:ascii="Times New Roman" w:hAnsi="Times New Roman" w:cs="Times New Roman"/>
          <w:b/>
          <w:color w:val="auto"/>
          <w:sz w:val="24"/>
          <w:szCs w:val="24"/>
        </w:rPr>
        <w:t>посвідчення</w:t>
      </w:r>
      <w:proofErr w:type="spellEnd"/>
      <w:r w:rsidRPr="00EE36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 </w:t>
      </w:r>
      <w:proofErr w:type="spellStart"/>
      <w:r w:rsidRPr="00EE365A">
        <w:rPr>
          <w:rFonts w:ascii="Times New Roman" w:hAnsi="Times New Roman" w:cs="Times New Roman"/>
          <w:b/>
          <w:color w:val="auto"/>
          <w:sz w:val="24"/>
          <w:szCs w:val="24"/>
        </w:rPr>
        <w:t>виробник</w:t>
      </w:r>
      <w:proofErr w:type="spellEnd"/>
      <w:r w:rsidRPr="00EE36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готового продукту</w:t>
      </w:r>
    </w:p>
    <w:p w:rsidR="00065D27" w:rsidRPr="00EE365A" w:rsidRDefault="00065D27" w:rsidP="008D60FF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E365A">
        <w:rPr>
          <w:rFonts w:ascii="Times New Roman" w:hAnsi="Times New Roman" w:cs="Times New Roman"/>
          <w:color w:val="auto"/>
          <w:sz w:val="24"/>
          <w:szCs w:val="24"/>
        </w:rPr>
        <w:t>ТОВ</w:t>
      </w:r>
      <w:proofErr w:type="gramEnd"/>
      <w:r w:rsidRPr="00EE365A">
        <w:rPr>
          <w:rFonts w:ascii="Times New Roman" w:hAnsi="Times New Roman" w:cs="Times New Roman"/>
          <w:color w:val="auto"/>
          <w:sz w:val="24"/>
          <w:szCs w:val="24"/>
        </w:rPr>
        <w:t xml:space="preserve"> «ВП «</w:t>
      </w:r>
      <w:proofErr w:type="spellStart"/>
      <w:r w:rsidRPr="00EE365A">
        <w:rPr>
          <w:rFonts w:ascii="Times New Roman" w:hAnsi="Times New Roman" w:cs="Times New Roman"/>
          <w:color w:val="auto"/>
          <w:sz w:val="24"/>
          <w:szCs w:val="24"/>
        </w:rPr>
        <w:t>Укрзооветпромпостач</w:t>
      </w:r>
      <w:proofErr w:type="spellEnd"/>
      <w:r w:rsidRPr="00EE365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65D27" w:rsidRPr="00EE365A" w:rsidRDefault="00065D27" w:rsidP="008D60FF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E365A">
        <w:rPr>
          <w:rFonts w:ascii="Times New Roman" w:hAnsi="Times New Roman" w:cs="Times New Roman"/>
          <w:color w:val="auto"/>
          <w:sz w:val="24"/>
          <w:szCs w:val="24"/>
        </w:rPr>
        <w:t>вул</w:t>
      </w:r>
      <w:proofErr w:type="spellEnd"/>
      <w:r w:rsidRPr="00EE365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EE365A">
        <w:rPr>
          <w:rFonts w:ascii="Times New Roman" w:hAnsi="Times New Roman" w:cs="Times New Roman"/>
          <w:color w:val="auto"/>
          <w:sz w:val="24"/>
          <w:szCs w:val="24"/>
        </w:rPr>
        <w:t>Кавказька</w:t>
      </w:r>
      <w:proofErr w:type="spellEnd"/>
      <w:r w:rsidRPr="00EE365A">
        <w:rPr>
          <w:rFonts w:ascii="Times New Roman" w:hAnsi="Times New Roman" w:cs="Times New Roman"/>
          <w:color w:val="auto"/>
          <w:sz w:val="24"/>
          <w:szCs w:val="24"/>
        </w:rPr>
        <w:t xml:space="preserve">, 1, с. </w:t>
      </w:r>
      <w:proofErr w:type="spellStart"/>
      <w:r w:rsidRPr="00EE365A">
        <w:rPr>
          <w:rFonts w:ascii="Times New Roman" w:hAnsi="Times New Roman" w:cs="Times New Roman"/>
          <w:color w:val="auto"/>
          <w:sz w:val="24"/>
          <w:szCs w:val="24"/>
        </w:rPr>
        <w:t>Плахтянка</w:t>
      </w:r>
      <w:proofErr w:type="spellEnd"/>
      <w:r w:rsidRPr="00EE365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E365A">
        <w:rPr>
          <w:rFonts w:ascii="Times New Roman" w:hAnsi="Times New Roman" w:cs="Times New Roman"/>
          <w:color w:val="auto"/>
          <w:sz w:val="24"/>
          <w:szCs w:val="24"/>
        </w:rPr>
        <w:t>Бучанський</w:t>
      </w:r>
      <w:proofErr w:type="spellEnd"/>
      <w:r w:rsidRPr="00EE365A">
        <w:rPr>
          <w:rFonts w:ascii="Times New Roman" w:hAnsi="Times New Roman" w:cs="Times New Roman"/>
          <w:color w:val="auto"/>
          <w:sz w:val="24"/>
          <w:szCs w:val="24"/>
        </w:rPr>
        <w:t xml:space="preserve"> р-н, </w:t>
      </w:r>
      <w:proofErr w:type="spellStart"/>
      <w:r w:rsidRPr="00EE365A">
        <w:rPr>
          <w:rFonts w:ascii="Times New Roman" w:hAnsi="Times New Roman" w:cs="Times New Roman"/>
          <w:color w:val="auto"/>
          <w:sz w:val="24"/>
          <w:szCs w:val="24"/>
        </w:rPr>
        <w:t>Київська</w:t>
      </w:r>
      <w:proofErr w:type="spellEnd"/>
      <w:r w:rsidRPr="00EE365A">
        <w:rPr>
          <w:rFonts w:ascii="Times New Roman" w:hAnsi="Times New Roman" w:cs="Times New Roman"/>
          <w:color w:val="auto"/>
          <w:sz w:val="24"/>
          <w:szCs w:val="24"/>
        </w:rPr>
        <w:t xml:space="preserve"> обл., </w:t>
      </w:r>
    </w:p>
    <w:p w:rsidR="00065D27" w:rsidRPr="00EE365A" w:rsidRDefault="00065D27" w:rsidP="008D60FF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E365A">
        <w:rPr>
          <w:rFonts w:ascii="Times New Roman" w:hAnsi="Times New Roman" w:cs="Times New Roman"/>
          <w:color w:val="auto"/>
          <w:sz w:val="24"/>
          <w:szCs w:val="24"/>
        </w:rPr>
        <w:t xml:space="preserve">08030, </w:t>
      </w:r>
      <w:proofErr w:type="spellStart"/>
      <w:r w:rsidRPr="00EE365A">
        <w:rPr>
          <w:rFonts w:ascii="Times New Roman" w:hAnsi="Times New Roman" w:cs="Times New Roman"/>
          <w:color w:val="auto"/>
          <w:sz w:val="24"/>
          <w:szCs w:val="24"/>
        </w:rPr>
        <w:t>Україна</w:t>
      </w:r>
      <w:proofErr w:type="spellEnd"/>
    </w:p>
    <w:p w:rsidR="00041275" w:rsidRPr="00EE365A" w:rsidRDefault="008D60FF" w:rsidP="00065D27">
      <w:pPr>
        <w:widowControl w:val="0"/>
        <w:shd w:val="clear" w:color="auto" w:fill="FFFFFF"/>
        <w:tabs>
          <w:tab w:val="left" w:pos="403"/>
          <w:tab w:val="left" w:pos="900"/>
        </w:tabs>
        <w:jc w:val="both"/>
        <w:rPr>
          <w:rStyle w:val="a3"/>
          <w:rFonts w:ascii="Times New Roman" w:eastAsia="Times New Roman" w:hAnsi="Times New Roman" w:cs="Times New Roman"/>
          <w:color w:val="auto"/>
          <w:spacing w:val="-2"/>
          <w:sz w:val="24"/>
          <w:szCs w:val="24"/>
          <w:u w:val="none"/>
          <w:lang w:eastAsia="ru-RU"/>
        </w:rPr>
      </w:pPr>
      <w:r w:rsidRPr="00EE365A">
        <w:rPr>
          <w:color w:val="auto"/>
        </w:rPr>
        <w:tab/>
      </w:r>
      <w:hyperlink r:id="rId8" w:history="1">
        <w:r w:rsidR="00065D27" w:rsidRPr="00EE365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www.ukrzoovet.com.ua</w:t>
        </w:r>
      </w:hyperlink>
    </w:p>
    <w:sectPr w:rsidR="00041275" w:rsidRPr="00EE365A" w:rsidSect="0079766D">
      <w:headerReference w:type="default" r:id="rId9"/>
      <w:headerReference w:type="first" r:id="rId10"/>
      <w:pgSz w:w="11906" w:h="16838"/>
      <w:pgMar w:top="1135" w:right="707" w:bottom="510" w:left="156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FF" w:rsidRDefault="00A913FF" w:rsidP="0079766D">
      <w:r>
        <w:separator/>
      </w:r>
    </w:p>
  </w:endnote>
  <w:endnote w:type="continuationSeparator" w:id="0">
    <w:p w:rsidR="00A913FF" w:rsidRDefault="00A913FF" w:rsidP="0079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FF" w:rsidRDefault="00A913FF" w:rsidP="0079766D">
      <w:r>
        <w:separator/>
      </w:r>
    </w:p>
  </w:footnote>
  <w:footnote w:type="continuationSeparator" w:id="0">
    <w:p w:rsidR="00A913FF" w:rsidRDefault="00A913FF" w:rsidP="0079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6D" w:rsidRDefault="0079766D">
    <w:pPr>
      <w:pStyle w:val="ac"/>
    </w:pPr>
  </w:p>
  <w:p w:rsidR="0079766D" w:rsidRPr="00A6680F" w:rsidRDefault="0079766D" w:rsidP="0079766D">
    <w:pPr>
      <w:jc w:val="right"/>
      <w:rPr>
        <w:rFonts w:ascii="Times New Roman" w:eastAsia="Times New Roman" w:hAnsi="Times New Roman" w:cs="Times New Roman"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>Продовження д</w:t>
    </w:r>
    <w:r w:rsidRPr="00A6680F">
      <w:rPr>
        <w:rFonts w:ascii="Times New Roman" w:eastAsia="Times New Roman" w:hAnsi="Times New Roman" w:cs="Times New Roman"/>
        <w:sz w:val="24"/>
        <w:szCs w:val="24"/>
        <w:lang w:val="uk-UA" w:eastAsia="ru-RU"/>
      </w:rPr>
      <w:t>одатк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>у</w:t>
    </w:r>
    <w:r w:rsidRPr="00A6680F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2 </w:t>
    </w:r>
  </w:p>
  <w:p w:rsidR="0079766D" w:rsidRPr="00A6680F" w:rsidRDefault="0079766D" w:rsidP="0079766D">
    <w:pPr>
      <w:jc w:val="center"/>
      <w:rPr>
        <w:rFonts w:ascii="Times New Roman" w:eastAsia="Times New Roman" w:hAnsi="Times New Roman" w:cs="Times New Roman"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ab/>
    </w:r>
    <w:r w:rsidRPr="00A6680F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до реєстраційного посвідчення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</w:t>
    </w:r>
  </w:p>
  <w:p w:rsidR="0079766D" w:rsidRDefault="0079766D">
    <w:pPr>
      <w:pStyle w:val="ac"/>
    </w:pPr>
  </w:p>
  <w:p w:rsidR="0079766D" w:rsidRDefault="0079766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6D" w:rsidRDefault="0079766D" w:rsidP="0079766D">
    <w:pPr>
      <w:jc w:val="right"/>
      <w:rPr>
        <w:rFonts w:ascii="Times New Roman" w:eastAsia="Times New Roman" w:hAnsi="Times New Roman" w:cs="Times New Roman"/>
        <w:sz w:val="24"/>
        <w:szCs w:val="24"/>
        <w:lang w:val="uk-UA" w:eastAsia="ru-RU"/>
      </w:rPr>
    </w:pPr>
  </w:p>
  <w:p w:rsidR="0079766D" w:rsidRDefault="0079766D" w:rsidP="0079766D">
    <w:pPr>
      <w:jc w:val="right"/>
      <w:rPr>
        <w:rFonts w:ascii="Times New Roman" w:eastAsia="Times New Roman" w:hAnsi="Times New Roman" w:cs="Times New Roman"/>
        <w:sz w:val="24"/>
        <w:szCs w:val="24"/>
        <w:lang w:val="uk-UA" w:eastAsia="ru-RU"/>
      </w:rPr>
    </w:pPr>
  </w:p>
  <w:p w:rsidR="0079766D" w:rsidRPr="00A6680F" w:rsidRDefault="0079766D" w:rsidP="0079766D">
    <w:pPr>
      <w:jc w:val="right"/>
      <w:rPr>
        <w:rFonts w:ascii="Times New Roman" w:eastAsia="Times New Roman" w:hAnsi="Times New Roman" w:cs="Times New Roman"/>
        <w:sz w:val="24"/>
        <w:szCs w:val="24"/>
        <w:lang w:val="uk-UA" w:eastAsia="ru-RU"/>
      </w:rPr>
    </w:pPr>
    <w:r w:rsidRPr="00A6680F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Додаток 2 </w:t>
    </w:r>
  </w:p>
  <w:p w:rsidR="0079766D" w:rsidRPr="00A6680F" w:rsidRDefault="0079766D" w:rsidP="0079766D">
    <w:pPr>
      <w:jc w:val="center"/>
      <w:rPr>
        <w:rFonts w:ascii="Times New Roman" w:eastAsia="Times New Roman" w:hAnsi="Times New Roman" w:cs="Times New Roman"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ab/>
    </w:r>
    <w:r w:rsidRPr="00A6680F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до реєстраційного посвідчення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</w:t>
    </w:r>
  </w:p>
  <w:p w:rsidR="0079766D" w:rsidRDefault="007976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7DA"/>
    <w:multiLevelType w:val="multilevel"/>
    <w:tmpl w:val="B2841F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A217E6"/>
    <w:multiLevelType w:val="multilevel"/>
    <w:tmpl w:val="F95E4C7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A20AE4"/>
    <w:multiLevelType w:val="multilevel"/>
    <w:tmpl w:val="F87EB2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C212D7"/>
    <w:multiLevelType w:val="multilevel"/>
    <w:tmpl w:val="A9E0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51E16F07"/>
    <w:multiLevelType w:val="hybridMultilevel"/>
    <w:tmpl w:val="247047EA"/>
    <w:lvl w:ilvl="0" w:tplc="5B0C4A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95A69EE"/>
    <w:multiLevelType w:val="hybridMultilevel"/>
    <w:tmpl w:val="F00C928C"/>
    <w:lvl w:ilvl="0" w:tplc="E3A86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75"/>
    <w:rsid w:val="000051BC"/>
    <w:rsid w:val="00034AD4"/>
    <w:rsid w:val="00041275"/>
    <w:rsid w:val="00065A4F"/>
    <w:rsid w:val="00065D27"/>
    <w:rsid w:val="00096CAF"/>
    <w:rsid w:val="00120711"/>
    <w:rsid w:val="00193338"/>
    <w:rsid w:val="0019588E"/>
    <w:rsid w:val="001F536B"/>
    <w:rsid w:val="001F6342"/>
    <w:rsid w:val="002357D2"/>
    <w:rsid w:val="00240BEB"/>
    <w:rsid w:val="002653BC"/>
    <w:rsid w:val="00280994"/>
    <w:rsid w:val="00286590"/>
    <w:rsid w:val="002B19F3"/>
    <w:rsid w:val="002C7C83"/>
    <w:rsid w:val="002D41BA"/>
    <w:rsid w:val="002F51DD"/>
    <w:rsid w:val="003176A9"/>
    <w:rsid w:val="003236A9"/>
    <w:rsid w:val="003513E1"/>
    <w:rsid w:val="0037278E"/>
    <w:rsid w:val="003B68E3"/>
    <w:rsid w:val="00420710"/>
    <w:rsid w:val="00435204"/>
    <w:rsid w:val="0046171F"/>
    <w:rsid w:val="00486249"/>
    <w:rsid w:val="004E3B3C"/>
    <w:rsid w:val="005B5F7A"/>
    <w:rsid w:val="006A645B"/>
    <w:rsid w:val="006C2ED7"/>
    <w:rsid w:val="006F6EF5"/>
    <w:rsid w:val="00762D4B"/>
    <w:rsid w:val="0079766D"/>
    <w:rsid w:val="0086109A"/>
    <w:rsid w:val="00875492"/>
    <w:rsid w:val="00877EA1"/>
    <w:rsid w:val="008D60FF"/>
    <w:rsid w:val="008E3E4F"/>
    <w:rsid w:val="00A15BCE"/>
    <w:rsid w:val="00A62F1F"/>
    <w:rsid w:val="00A6680F"/>
    <w:rsid w:val="00A913FF"/>
    <w:rsid w:val="00AE518C"/>
    <w:rsid w:val="00AE7BB3"/>
    <w:rsid w:val="00B56E2D"/>
    <w:rsid w:val="00B60C74"/>
    <w:rsid w:val="00B910D2"/>
    <w:rsid w:val="00B9723F"/>
    <w:rsid w:val="00C839F2"/>
    <w:rsid w:val="00D237A9"/>
    <w:rsid w:val="00D71615"/>
    <w:rsid w:val="00D71980"/>
    <w:rsid w:val="00D90634"/>
    <w:rsid w:val="00DA5648"/>
    <w:rsid w:val="00E1046F"/>
    <w:rsid w:val="00E2350C"/>
    <w:rsid w:val="00E23689"/>
    <w:rsid w:val="00E30271"/>
    <w:rsid w:val="00E30E65"/>
    <w:rsid w:val="00E7446C"/>
    <w:rsid w:val="00EA3C41"/>
    <w:rsid w:val="00EC7F96"/>
    <w:rsid w:val="00ED01DF"/>
    <w:rsid w:val="00EE365A"/>
    <w:rsid w:val="00EE3F27"/>
    <w:rsid w:val="00F3476F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E7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2BC"/>
  </w:style>
  <w:style w:type="character" w:customStyle="1" w:styleId="FontStyle21">
    <w:name w:val="Font Style21"/>
    <w:rsid w:val="002F61C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a3">
    <w:name w:val="Гіперпосилання"/>
    <w:rPr>
      <w:color w:val="0000FF"/>
      <w:u w:val="single"/>
      <w:lang w:val="uk-UA" w:bidi="uk-UA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5">
    <w:name w:val="Основний текст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134A2"/>
    <w:pPr>
      <w:ind w:left="720"/>
      <w:contextualSpacing/>
    </w:pPr>
  </w:style>
  <w:style w:type="table" w:styleId="aa">
    <w:name w:val="Table Grid"/>
    <w:basedOn w:val="a1"/>
    <w:uiPriority w:val="59"/>
    <w:rsid w:val="002837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065D2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97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766D"/>
    <w:rPr>
      <w:color w:val="00000A"/>
    </w:rPr>
  </w:style>
  <w:style w:type="paragraph" w:styleId="ae">
    <w:name w:val="footer"/>
    <w:basedOn w:val="a"/>
    <w:link w:val="af"/>
    <w:uiPriority w:val="99"/>
    <w:unhideWhenUsed/>
    <w:rsid w:val="00797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66D"/>
    <w:rPr>
      <w:color w:val="00000A"/>
    </w:rPr>
  </w:style>
  <w:style w:type="paragraph" w:styleId="af0">
    <w:name w:val="Balloon Text"/>
    <w:basedOn w:val="a"/>
    <w:link w:val="af1"/>
    <w:uiPriority w:val="99"/>
    <w:semiHidden/>
    <w:unhideWhenUsed/>
    <w:rsid w:val="0079766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766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E7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2BC"/>
  </w:style>
  <w:style w:type="character" w:customStyle="1" w:styleId="FontStyle21">
    <w:name w:val="Font Style21"/>
    <w:rsid w:val="002F61C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a3">
    <w:name w:val="Гіперпосилання"/>
    <w:rPr>
      <w:color w:val="0000FF"/>
      <w:u w:val="single"/>
      <w:lang w:val="uk-UA" w:bidi="uk-UA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5">
    <w:name w:val="Основний текст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134A2"/>
    <w:pPr>
      <w:ind w:left="720"/>
      <w:contextualSpacing/>
    </w:pPr>
  </w:style>
  <w:style w:type="table" w:styleId="aa">
    <w:name w:val="Table Grid"/>
    <w:basedOn w:val="a1"/>
    <w:uiPriority w:val="59"/>
    <w:rsid w:val="002837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065D2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97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766D"/>
    <w:rPr>
      <w:color w:val="00000A"/>
    </w:rPr>
  </w:style>
  <w:style w:type="paragraph" w:styleId="ae">
    <w:name w:val="footer"/>
    <w:basedOn w:val="a"/>
    <w:link w:val="af"/>
    <w:uiPriority w:val="99"/>
    <w:unhideWhenUsed/>
    <w:rsid w:val="00797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66D"/>
    <w:rPr>
      <w:color w:val="00000A"/>
    </w:rPr>
  </w:style>
  <w:style w:type="paragraph" w:styleId="af0">
    <w:name w:val="Balloon Text"/>
    <w:basedOn w:val="a"/>
    <w:link w:val="af1"/>
    <w:uiPriority w:val="99"/>
    <w:semiHidden/>
    <w:unhideWhenUsed/>
    <w:rsid w:val="0079766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766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zoovet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6980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Slaffko Kopteff</dc:creator>
  <cp:lastModifiedBy>Natalia_Ostapiv</cp:lastModifiedBy>
  <cp:revision>59</cp:revision>
  <dcterms:created xsi:type="dcterms:W3CDTF">2023-11-29T12:54:00Z</dcterms:created>
  <dcterms:modified xsi:type="dcterms:W3CDTF">2024-05-16T12:05:00Z</dcterms:modified>
  <dc:language>uk-UA</dc:language>
</cp:coreProperties>
</file>